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800"/>
      </w:pPr>
    </w:p>
    <w:p>
      <w:pPr>
        <w:spacing w:after="240"/>
        <w:jc w:val="left"/>
      </w:pPr>
      <w:r>
        <w:rPr>
          <w:rFonts w:ascii="Arial" w:cs="Arial" w:eastAsia="Arial" w:hAnsi="Arial"/>
          <w:b/>
          <w:bCs/>
          <w:color w:val="1E8578"/>
          <w:spacing w:val="40"/>
          <w:sz w:val="20"/>
          <w:szCs w:val="20"/>
        </w:rPr>
        <w:t xml:space="preserve">SOCIEDAD PERUANA DE CIENCIA E INNOVACIÓN</w:t>
      </w:r>
    </w:p>
    <w:p>
      <w:pPr>
        <w:spacing w:after="0"/>
        <w:jc w:val="left"/>
      </w:pPr>
      <w:r>
        <w:rPr>
          <w:rFonts w:ascii="Arial" w:cs="Arial" w:eastAsia="Arial" w:hAnsi="Arial"/>
          <w:b/>
          <w:bCs/>
          <w:color w:val="1F2E4B"/>
          <w:sz w:val="64"/>
          <w:szCs w:val="64"/>
        </w:rPr>
        <w:t xml:space="preserve">Manual de Semilleros</w:t>
      </w:r>
    </w:p>
    <w:p>
      <w:pPr>
        <w:spacing w:after="360"/>
        <w:jc w:val="left"/>
      </w:pPr>
      <w:r>
        <w:rPr>
          <w:rFonts w:ascii="Arial" w:cs="Arial" w:eastAsia="Arial" w:hAnsi="Arial"/>
          <w:b/>
          <w:bCs/>
          <w:color w:val="29AE9D"/>
          <w:sz w:val="64"/>
          <w:szCs w:val="64"/>
        </w:rPr>
        <w:t xml:space="preserve">Científicos SOPECIN</w:t>
      </w:r>
    </w:p>
    <w:p>
      <w:pPr>
        <w:spacing w:after="120" w:line="300"/>
        <w:jc w:val="left"/>
      </w:pPr>
      <w:r>
        <w:rPr>
          <w:rFonts w:ascii="Arial" w:cs="Arial" w:eastAsia="Arial" w:hAnsi="Arial"/>
          <w:color w:val="4B5870"/>
          <w:sz w:val="24"/>
          <w:szCs w:val="24"/>
        </w:rPr>
        <w:t xml:space="preserve">Lineamientos para la activación, ejecución, seguimiento y cierre de los semilleros científicos que promueven la Producción Intelectual Universitaria (PIU) bajo el modelo I+D+i+e.</w:t>
      </w:r>
    </w:p>
    <w:p>
      <w:pPr>
        <w:spacing w:before="1600"/>
      </w:pPr>
    </w:p>
    <w:tbl>
      <w:tblPr>
        <w:tblW w:type="dxa" w:w="6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000"/>
      </w:tblGrid>
      <w:tr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Versión</w:t>
            </w:r>
          </w:p>
        </w:tc>
        <w:tc>
          <w:tcPr>
            <w:tcW w:type="dxa" w:w="40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2.0</w:t>
            </w:r>
          </w:p>
        </w:tc>
      </w:tr>
      <w:tr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type="dxa" w:w="40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Octubre de 2026</w:t>
            </w:r>
          </w:p>
        </w:tc>
      </w:tr>
      <w:tr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Aprobado por</w:t>
            </w:r>
          </w:p>
        </w:tc>
        <w:tc>
          <w:tcPr>
            <w:tcW w:type="dxa" w:w="40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Consejo Directivo de SOPECIN</w:t>
            </w:r>
          </w:p>
        </w:tc>
      </w:tr>
      <w:tr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Sede</w:t>
            </w:r>
          </w:p>
        </w:tc>
        <w:tc>
          <w:tcPr>
            <w:tcW w:type="dxa" w:w="40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Arequipa, Perú</w:t>
            </w:r>
          </w:p>
        </w:tc>
      </w:tr>
    </w:tbl>
    <w:p>
      <w:r>
        <w:br w:type="page"/>
      </w:r>
    </w:p>
    <w:p>
      <w:pPr>
        <w:spacing w:after="200"/>
      </w:pPr>
      <w:r>
        <w:rPr>
          <w:rFonts w:ascii="Arial" w:cs="Arial" w:eastAsia="Arial" w:hAnsi="Arial"/>
          <w:b/>
          <w:bCs/>
          <w:color w:val="1F2E4B"/>
          <w:sz w:val="30"/>
          <w:szCs w:val="30"/>
        </w:rPr>
        <w:t xml:space="preserve">Contenido</w:t>
      </w:r>
    </w:p>
    <w:p>
      <w:pPr>
        <w:tabs>
          <w:tab w:val="right" w:pos="9026" w:leader="dot"/>
        </w:tabs>
        <w:spacing w:after="20" w:before="70"/>
        <w:ind w:left="0"/>
      </w:pP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1. Presentación</w:t>
      </w: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	3</w:t>
      </w:r>
    </w:p>
    <w:p>
      <w:pPr>
        <w:tabs>
          <w:tab w:val="right" w:pos="9026" w:leader="dot"/>
        </w:tabs>
        <w:spacing w:after="20" w:before="70"/>
        <w:ind w:left="0"/>
      </w:pP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2. Alcance</w:t>
      </w: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	3</w:t>
      </w:r>
    </w:p>
    <w:p>
      <w:pPr>
        <w:tabs>
          <w:tab w:val="right" w:pos="9026" w:leader="dot"/>
        </w:tabs>
        <w:spacing w:after="20" w:before="70"/>
        <w:ind w:left="0"/>
      </w:pP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3. Documentos base</w:t>
      </w: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	3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3.1 Normativa nacional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3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3.2 Normas e instrumentos del CONCYTEC y la SUNEDU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3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3.3 Normas técnicas peruanas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4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3.4 Políticas, guías y referencias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4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3.5 Normativa interna de SOPECIN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4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3.6 Plataformas de SOPECIN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4</w:t>
      </w:r>
    </w:p>
    <w:p>
      <w:pPr>
        <w:tabs>
          <w:tab w:val="right" w:pos="9026" w:leader="dot"/>
        </w:tabs>
        <w:spacing w:after="20" w:before="70"/>
        <w:ind w:left="0"/>
      </w:pP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4. Conceptualización de términos</w:t>
      </w: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	4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4.1 Términos de SOPECIN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4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4.2 Términos de I+D+i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5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4.3 Financiamiento y fondos concursables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7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4.4 Niveles de madurez TRL y CRL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7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4.5 Objetivos de Desarrollo Sostenible (ODS)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8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4.6 Nivel de Producción Intelectual Universitaria (PIU)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9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4.7 Términos del RENATI (SUNEDU)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10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4.8 Integridad y propiedad intelectual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11</w:t>
      </w:r>
    </w:p>
    <w:p>
      <w:pPr>
        <w:tabs>
          <w:tab w:val="right" w:pos="9026" w:leader="dot"/>
        </w:tabs>
        <w:spacing w:after="20" w:before="70"/>
        <w:ind w:left="0"/>
      </w:pP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5. Objetivos</w:t>
      </w: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	12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5.1 Objetivo general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12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5.2 Objetivos específicos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12</w:t>
      </w:r>
    </w:p>
    <w:p>
      <w:pPr>
        <w:tabs>
          <w:tab w:val="right" w:pos="9026" w:leader="dot"/>
        </w:tabs>
        <w:spacing w:after="20" w:before="70"/>
        <w:ind w:left="0"/>
      </w:pP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6. Organización</w:t>
      </w: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	12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6.1 Integración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12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6.2 Roles y responsabilidades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13</w:t>
      </w:r>
    </w:p>
    <w:p>
      <w:pPr>
        <w:tabs>
          <w:tab w:val="right" w:pos="9026" w:leader="dot"/>
        </w:tabs>
        <w:spacing w:after="20" w:before="70"/>
        <w:ind w:left="0"/>
      </w:pP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7. Ciclo de vida del semillero</w:t>
      </w: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	13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7.1 Modificaciones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14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7.2 Reuniones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14</w:t>
      </w:r>
    </w:p>
    <w:p>
      <w:pPr>
        <w:tabs>
          <w:tab w:val="right" w:pos="9026" w:leader="dot"/>
        </w:tabs>
        <w:spacing w:after="20" w:before="70"/>
        <w:ind w:left="0"/>
      </w:pP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8. Difusión y propiedad intelectual</w:t>
      </w: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	14</w:t>
      </w:r>
    </w:p>
    <w:p>
      <w:pPr>
        <w:tabs>
          <w:tab w:val="right" w:pos="9026" w:leader="dot"/>
        </w:tabs>
        <w:spacing w:after="20" w:before="70"/>
        <w:ind w:left="0"/>
      </w:pP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9. Integridad científica y ética</w:t>
      </w: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	14</w:t>
      </w:r>
    </w:p>
    <w:p>
      <w:pPr>
        <w:tabs>
          <w:tab w:val="right" w:pos="9026" w:leader="dot"/>
        </w:tabs>
        <w:spacing w:after="20" w:before="70"/>
        <w:ind w:left="0"/>
      </w:pP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10. Recursos</w:t>
      </w: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	15</w:t>
      </w:r>
    </w:p>
    <w:p>
      <w:pPr>
        <w:tabs>
          <w:tab w:val="right" w:pos="9026" w:leader="dot"/>
        </w:tabs>
        <w:spacing w:after="20" w:before="70"/>
        <w:ind w:left="0"/>
      </w:pP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11. Reconocimientos y constancias</w:t>
      </w: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	15</w:t>
      </w:r>
    </w:p>
    <w:p>
      <w:pPr>
        <w:tabs>
          <w:tab w:val="right" w:pos="9026" w:leader="dot"/>
        </w:tabs>
        <w:spacing w:after="20" w:before="70"/>
        <w:ind w:left="0"/>
      </w:pP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12. Indicadores de evaluación</w:t>
      </w: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	15</w:t>
      </w:r>
    </w:p>
    <w:p>
      <w:pPr>
        <w:tabs>
          <w:tab w:val="right" w:pos="9026" w:leader="dot"/>
        </w:tabs>
        <w:spacing w:after="20" w:before="70"/>
        <w:ind w:left="0"/>
      </w:pP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13. Sanciones</w:t>
      </w: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	15</w:t>
      </w:r>
    </w:p>
    <w:p>
      <w:pPr>
        <w:tabs>
          <w:tab w:val="right" w:pos="9026" w:leader="dot"/>
        </w:tabs>
        <w:spacing w:after="20" w:before="70"/>
        <w:ind w:left="0"/>
      </w:pP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14. Disposiciones finales</w:t>
      </w: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	16</w:t>
      </w:r>
    </w:p>
    <w:p>
      <w:pPr>
        <w:tabs>
          <w:tab w:val="right" w:pos="9026" w:leader="dot"/>
        </w:tabs>
        <w:spacing w:after="20" w:before="70"/>
        <w:ind w:left="0"/>
      </w:pP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Anexo 01. Activación del Semillero (AS)</w:t>
      </w: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	17</w:t>
      </w:r>
    </w:p>
    <w:p>
      <w:pPr>
        <w:tabs>
          <w:tab w:val="right" w:pos="9026" w:leader="dot"/>
        </w:tabs>
        <w:spacing w:after="20" w:before="0"/>
        <w:ind w:left="360"/>
      </w:pP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Ejemplo de Activación del Semillero</w:t>
      </w:r>
      <w:r>
        <w:rPr>
          <w:rFonts w:ascii="Arial" w:cs="Arial" w:eastAsia="Arial" w:hAnsi="Arial"/>
          <w:b w:val="false"/>
          <w:bCs w:val="false"/>
          <w:color w:val="4B5870"/>
          <w:sz w:val="18"/>
          <w:szCs w:val="18"/>
        </w:rPr>
        <w:t xml:space="preserve">	19</w:t>
      </w:r>
    </w:p>
    <w:p>
      <w:pPr>
        <w:tabs>
          <w:tab w:val="right" w:pos="9026" w:leader="dot"/>
        </w:tabs>
        <w:spacing w:after="20" w:before="70"/>
        <w:ind w:left="0"/>
      </w:pP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Anexo 02. Informe de avance semestral</w:t>
      </w: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	21</w:t>
      </w:r>
    </w:p>
    <w:p>
      <w:pPr>
        <w:tabs>
          <w:tab w:val="right" w:pos="9026" w:leader="dot"/>
        </w:tabs>
        <w:spacing w:after="20" w:before="70"/>
        <w:ind w:left="0"/>
      </w:pP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Anexo 03. Informe final y cierre</w:t>
      </w: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	22</w:t>
      </w:r>
    </w:p>
    <w:p>
      <w:pPr>
        <w:tabs>
          <w:tab w:val="right" w:pos="9026" w:leader="dot"/>
        </w:tabs>
        <w:spacing w:after="20" w:before="70"/>
        <w:ind w:left="0"/>
      </w:pP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Anexo 04. Compromiso de integridad y propiedad intelectual</w:t>
      </w: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	23</w:t>
      </w:r>
    </w:p>
    <w:p>
      <w:pPr>
        <w:tabs>
          <w:tab w:val="right" w:pos="9026" w:leader="dot"/>
        </w:tabs>
        <w:spacing w:after="20" w:before="70"/>
        <w:ind w:left="0"/>
      </w:pP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Anexo 05. Registro de asistencia y acuerdos</w:t>
      </w:r>
      <w:r>
        <w:rPr>
          <w:rFonts w:ascii="Arial" w:cs="Arial" w:eastAsia="Arial" w:hAnsi="Arial"/>
          <w:b/>
          <w:bCs/>
          <w:color w:val="1F2E4B"/>
          <w:sz w:val="20"/>
          <w:szCs w:val="20"/>
        </w:rPr>
        <w:t xml:space="preserve">	24</w:t>
      </w:r>
    </w:p>
    <w:p>
      <w:r>
        <w:br w:type="page"/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1. Presentación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La Sociedad Peruana de Ciencia e Innovación (SOPECIN) es una institución académica y de investigación que nace bajo el principio supremo del honor y que impulsa proyectos de Investigación, Desarrollo, Innovación y Emprendimiento (I+D+i+e), promoviendo de manera prioritaria los productos de la Producción Intelectual Universitaria (PIU).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Los </w:t>
      </w:r>
      <w:r>
        <w:rPr>
          <w:rFonts w:ascii="Arial" w:cs="Arial" w:eastAsia="Arial" w:hAnsi="Arial"/>
          <w:b/>
          <w:bCs/>
        </w:rPr>
        <w:t xml:space="preserve">semilleros científicos</w:t>
      </w:r>
      <w:r>
        <w:rPr>
          <w:rFonts w:ascii="Arial" w:cs="Arial" w:eastAsia="Arial" w:hAnsi="Arial"/>
        </w:rPr>
        <w:t xml:space="preserve"> son el espacio en el que SOPECIN forma nuevos investigadores: grupos de trabajo que aprenden, investigan y producen en torno a una línea de investigación, con acompañamiento institucional, hasta convertir sus resultados en productos PIU verificables (artículos, libros, capítulos, prototipos, tesis o propiedad intelectual).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Este manual establece las reglas para activar, ejecutar, evaluar y cerrar un semillero, así como los derechos y responsabilidades de quienes lo integran.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2. Alcance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El presente manual es de cumplimiento obligatorio para todos los semilleros científicos activados por SOPECIN, para sus responsables y sus integrantes, sean o no asociados, así como para los órganos de SOPECIN que intervienen en su aprobación y seguimiento.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3. Documentos base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3.1 Normativa nacional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Constitución Política del Perú.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Ley N° 31250, Ley del Sistema Nacional de Ciencia, Tecnología e Innovación (SINACTI), que reemplaza el marco de la Ley N° 28303, Ley Marco de Ciencia, Tecnología e Innovación Tecnológica, y su modificatoria, Ley N° 28613.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Reglamento de la Ley N° 31250, aprobado por Decreto Supremo N° 062-2024-PCM.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Decreto Legislativo N° 1727, que modifica la Ley N° 31250 para fortalecer la gobernanza del SINACTI y la potestad sancionadora del CONCYTEC (2026).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Ley N° 30948, Ley de Promoción del Desarrollo del Investigador Científico, y su Reglamento, aprobado por Decreto Supremo N° 076-2023-PCM.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Ley N° 28044, Ley General de Educación.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Ley N° 30220, Ley Universitaria.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Ley N° 29733, Ley de Protección de Datos Personales, y su Reglamento.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Decreto Legislativo N° 822, Ley sobre el Derecho de Autor.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Decreto Legislativo N° 1075, que aprueba disposiciones complementarias a la Decisión 486 de la Comunidad Andina sobre Propiedad Industrial.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Decreto Legislativo N° 807, Ley sobre Facultades, Normas y Organización del INDECOPI.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3.2 Normas e instrumentos del CONCYTEC y la SUNEDU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Código Nacional de Integridad Científica, aprobado por Resolución de Presidencia N° 028-2024-CONCYTEC-P.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Reglamento del Registro Nacional Científico, Tecnológico y de Innovación Tecnológica (RENACYT), vigente.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Reglamento del Registro Nacional de Trabajos de Investigación para optar grados académicos y títulos profesionales (RENATI), de la SUNEDU.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Lineamientos técnicos para la ejecución de proyectos de ciencia, tecnología e innovación con recursos públicos.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Guía ALICIA, Repositorio Nacional Digital de Ciencia, Tecnología e Innovación de Acceso Abierto.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3.3 Normas técnicas peruanas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NTP 732.001 Gestión de la I+D+i. Terminología y definiciones de las actividades de I+D+i.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NTP 732.002 Gestión de la I+D+i. Requisitos de un proyecto de I+D+i.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NTP 732.003 Gestión de la I+D+i. Requisitos del sistema de gestión de la I+D+i.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3.4 Políticas, guías y referencias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Política Nacional de Competitividad y Productividad y Plan Nacional de Competitividad y Productividad 2019-2030.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Manual de Frascati 2015 (OCDE): guía para la recopilación y presentación de información sobre la investigación y el desarrollo experimental.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Global Entrepreneurship Monitor – Emprendedor Peruano (Ministerio de la Producción).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Guía de Presentaciones de Alto Impacto para Investigadores (2020).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Guías para los Grupos de Investigación – Estudiantes y Maestros, Wiñay (2017).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3.5 Normativa interna de SOPECIN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Estatuto de la Sociedad Peruana de Ciencia e Innovación.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Procedimiento editorial del Sello Editorial SOPECIN (evaluación por pares ciegos).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Lineamientos de la revista científica Comprende+.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3.6 Plataformas de SOPECIN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Revista científica Comprende+:</w:t>
      </w:r>
      <w:r>
        <w:rPr>
          <w:rFonts w:ascii="Arial" w:cs="Arial" w:eastAsia="Arial" w:hAnsi="Arial"/>
        </w:rPr>
        <w:t xml:space="preserve"> https://comprendemas.com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Rueda de Problemas:</w:t>
      </w:r>
      <w:r>
        <w:rPr>
          <w:rFonts w:ascii="Arial" w:cs="Arial" w:eastAsia="Arial" w:hAnsi="Arial"/>
        </w:rPr>
        <w:t xml:space="preserve"> https://ruedadeproblemas.pe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Entiende PIU:</w:t>
      </w:r>
      <w:r>
        <w:rPr>
          <w:rFonts w:ascii="Arial" w:cs="Arial" w:eastAsia="Arial" w:hAnsi="Arial"/>
        </w:rPr>
        <w:t xml:space="preserve"> https://entiendepiu.com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Sello Editorial SOPECIN y catálogo de libros:</w:t>
      </w:r>
      <w:r>
        <w:rPr>
          <w:rFonts w:ascii="Arial" w:cs="Arial" w:eastAsia="Arial" w:hAnsi="Arial"/>
        </w:rPr>
        <w:t xml:space="preserve"> https://sopecin.org.pe/libros/</w:t>
      </w:r>
    </w:p>
    <w:p>
      <w:pPr>
        <w:spacing w:after="160"/>
        <w:jc w:val="left"/>
      </w:pPr>
      <w:r>
        <w:rPr>
          <w:rFonts w:ascii="Arial" w:cs="Arial" w:eastAsia="Arial" w:hAnsi="Arial"/>
          <w:i/>
          <w:iCs/>
          <w:color w:val="4B5870"/>
          <w:sz w:val="18"/>
          <w:szCs w:val="18"/>
        </w:rPr>
        <w:t xml:space="preserve">Las normas se aplican en su versión vigente, incluidas sus modificatorias. Ante cualquier cambio normativo prevalece la norma de mayor jerarquía.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4. Conceptualización de términos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4.1 Términos de SOPECIN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Semillero científico: </w:t>
      </w:r>
      <w:r>
        <w:rPr>
          <w:rFonts w:ascii="Arial" w:cs="Arial" w:eastAsia="Arial" w:hAnsi="Arial"/>
        </w:rPr>
        <w:t xml:space="preserve">Grupo de personas que comparten el deseo de aprender, enseñar e investigar sobre un tema que se ubica en una de las seis áreas de conocimiento de la OCDE, y que trabaja de forma organizada para dar sostenibilidad a una línea de investigación que contribuya al desarrollo de la sociedad.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Responsable del semillero: </w:t>
      </w:r>
      <w:r>
        <w:rPr>
          <w:rFonts w:ascii="Arial" w:cs="Arial" w:eastAsia="Arial" w:hAnsi="Arial"/>
        </w:rPr>
        <w:t xml:space="preserve">Asociado de SOPECIN que presenta la Activación del Semillero (AS), lidera sus actividades y responde ante el Consejo Directivo por su cumplimiento.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Integrante: </w:t>
      </w:r>
      <w:r>
        <w:rPr>
          <w:rFonts w:ascii="Arial" w:cs="Arial" w:eastAsia="Arial" w:hAnsi="Arial"/>
        </w:rPr>
        <w:t xml:space="preserve">Persona natural que participa en el semillero tras ser aceptada por el Responsable. Puede ser estudiante, docente, profesional o investigador, sea o no asociado de SOPECIN.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Asesor: </w:t>
      </w:r>
      <w:r>
        <w:rPr>
          <w:rFonts w:ascii="Arial" w:cs="Arial" w:eastAsia="Arial" w:hAnsi="Arial"/>
        </w:rPr>
        <w:t xml:space="preserve">Investigador con experiencia en la línea del semillero que, a solicitud del Responsable, orienta metodológicamente al grupo. Su participación es opcional.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Activación del Semillero (AS): </w:t>
      </w:r>
      <w:r>
        <w:rPr>
          <w:rFonts w:ascii="Arial" w:cs="Arial" w:eastAsia="Arial" w:hAnsi="Arial"/>
        </w:rPr>
        <w:t xml:space="preserve">Documento con el que se propone un semillero al Consejo Directivo (Anexo 01). Contiene los datos del Responsable, el objetivo, los integrantes, las reuniones, los entregables y los requerimientos.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Producción Intelectual Universitaria (PIU): </w:t>
      </w:r>
      <w:r>
        <w:rPr>
          <w:rFonts w:ascii="Arial" w:cs="Arial" w:eastAsia="Arial" w:hAnsi="Arial"/>
        </w:rPr>
        <w:t xml:space="preserve">Resultado de las decisiones que toman administrativos, docentes, estudiantes, egresados y vinculantes en relación con la gestión, la formación, la investigación y la transferencia en una universidad. Su nivel se presenta en la tabla de la sección 4.6.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Filiación institucional: </w:t>
      </w:r>
      <w:r>
        <w:rPr>
          <w:rFonts w:ascii="Arial" w:cs="Arial" w:eastAsia="Arial" w:hAnsi="Arial"/>
        </w:rPr>
        <w:t xml:space="preserve">Identificación clara de la institución a la que pertenece el autor y que respalda su producción científica. Los productos de los semilleros consignan la filiación a SOPECIN, además de la institución de origen de cada autor.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4.2 Términos de I+D+i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Área de conocimiento OCDE: </w:t>
      </w:r>
      <w:r>
        <w:rPr>
          <w:rFonts w:ascii="Arial" w:cs="Arial" w:eastAsia="Arial" w:hAnsi="Arial"/>
        </w:rPr>
        <w:t xml:space="preserve">Los Campos de Investigación y Desarrollo (FORD) constituyen un esquema de distribución del conocimiento propuesto por la Organización para la Cooperación y el Desarrollo Económicos (OCDE) para clasificar las unidades de ejecución de investigación y desarrollo experimental (I+D) y distribuir sus recursos en función del ámbito de conocimiento en el que se lleva a cabo.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Investigación: </w:t>
      </w:r>
      <w:r>
        <w:rPr>
          <w:rFonts w:ascii="Arial" w:cs="Arial" w:eastAsia="Arial" w:hAnsi="Arial"/>
        </w:rPr>
        <w:t xml:space="preserve">Indagación original y planificada que persigue descubrir nuevos conocimientos y una superior comprensión en el ámbito científico o tecnológico.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Investigación científica: </w:t>
      </w:r>
      <w:r>
        <w:rPr>
          <w:rFonts w:ascii="Arial" w:cs="Arial" w:eastAsia="Arial" w:hAnsi="Arial"/>
        </w:rPr>
        <w:t xml:space="preserve">Estudio original y planificado que tiene como finalidad obtener nuevos conocimientos científicos y tecnológicos. Se divide en investigación básica y aplicada.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Investigación básica: </w:t>
      </w:r>
      <w:r>
        <w:rPr>
          <w:rFonts w:ascii="Arial" w:cs="Arial" w:eastAsia="Arial" w:hAnsi="Arial"/>
        </w:rPr>
        <w:t xml:space="preserve">Generación o ampliación de los conocimientos generales científicos y técnicos, no necesariamente vinculados a una aplicación o uso particular.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Investigación aplicada: </w:t>
      </w:r>
      <w:r>
        <w:rPr>
          <w:rFonts w:ascii="Arial" w:cs="Arial" w:eastAsia="Arial" w:hAnsi="Arial"/>
        </w:rPr>
        <w:t xml:space="preserve">Generación o ampliación de conocimientos con vistas a utilizarlos en el desarrollo de productos o procesos nuevos, o para suscitar mejoras importantes de productos o procesos existentes.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Desarrollo experimental: </w:t>
      </w:r>
      <w:r>
        <w:rPr>
          <w:rFonts w:ascii="Arial" w:cs="Arial" w:eastAsia="Arial" w:hAnsi="Arial"/>
        </w:rPr>
        <w:t xml:space="preserve">Trabajos sistemáticos que aprovechan los conocimientos existentes obtenidos de la investigación o de la experiencia práctica, dirigidos a la producción de nuevos materiales, productos o dispositivos; a la puesta en marcha de nuevos procesos, sistemas y servicios, o a la mejora sustancial de los ya existentes.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Desarrollo tecnológico: </w:t>
      </w:r>
      <w:r>
        <w:rPr>
          <w:rFonts w:ascii="Arial" w:cs="Arial" w:eastAsia="Arial" w:hAnsi="Arial"/>
        </w:rPr>
        <w:t xml:space="preserve">Aplicación de los resultados de la investigación o de cualquier otro tipo de conocimiento científico a un plan o diseño en particular, para la elaboración de materiales, productos, métodos, procesos o sistemas nuevos o sustancialmente mejorados, antes del comienzo de su producción o utilización comercial.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Innovación: </w:t>
      </w:r>
      <w:r>
        <w:rPr>
          <w:rFonts w:ascii="Arial" w:cs="Arial" w:eastAsia="Arial" w:hAnsi="Arial"/>
        </w:rPr>
        <w:t xml:space="preserve">Introducción exitosa, en el mercado o en la sociedad, de un producto (bien o servicio), proceso, método de comercialización o método organizativo nuevo o significativamente mejorado.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Transferencia de tecnología: </w:t>
      </w:r>
      <w:r>
        <w:rPr>
          <w:rFonts w:ascii="Arial" w:cs="Arial" w:eastAsia="Arial" w:hAnsi="Arial"/>
        </w:rPr>
        <w:t xml:space="preserve">Proceso de transmisión de la información científica y tecnológica, del conocimiento, de los medios y de los derechos de explotación hacia terceras partes, para la producción de un bien, el desarrollo de un proceso o la prestación de un servicio, contribuyendo al desarrollo de sus capacidades.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Prototipo: </w:t>
      </w:r>
      <w:r>
        <w:rPr>
          <w:rFonts w:ascii="Arial" w:cs="Arial" w:eastAsia="Arial" w:hAnsi="Arial"/>
        </w:rPr>
        <w:t xml:space="preserve">Modelo original construido a menor escala que representa un producto, proceso, servicio o tecnología, sobre el cual se realizan pruebas que buscan reproducir las situaciones de su uso cotidiano. Sus resultados sirven de base para establecer mejoras, para las etapas de escalamiento y comercialización, y para la I+D de otras versiones.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Proyecto: </w:t>
      </w:r>
      <w:r>
        <w:rPr>
          <w:rFonts w:ascii="Arial" w:cs="Arial" w:eastAsia="Arial" w:hAnsi="Arial"/>
        </w:rPr>
        <w:t xml:space="preserve">Proceso único que consiste en un conjunto de actividades coordinadas y controladas, con fechas de inicio y fin, llevadas a cabo para lograr un objetivo que cumple requisitos específicos, incluidos compromisos de costos, plazos y recursos.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Proyecto de investigación: </w:t>
      </w:r>
      <w:r>
        <w:rPr>
          <w:rFonts w:ascii="Arial" w:cs="Arial" w:eastAsia="Arial" w:hAnsi="Arial"/>
        </w:rPr>
        <w:t xml:space="preserve">Procedimiento que, siguiendo una metodología científica, busca solucionar problemas y validar hipótesis de trabajo en distintos ámbitos de la realidad (natural, social, cultural o tecnológica).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Plan Operativo del Proyecto (POP): </w:t>
      </w:r>
      <w:r>
        <w:rPr>
          <w:rFonts w:ascii="Arial" w:cs="Arial" w:eastAsia="Arial" w:hAnsi="Arial"/>
        </w:rPr>
        <w:t xml:space="preserve">Documento de gestión técnica y económica de un proyecto que contiene el cronograma de actividades, los productos entregables por hitos, el presupuesto, las metas físicas por objetivo específico y los indicadores del proyecto. Lo elabora el investigador principal y lo aprueba la entidad que financia o supervisa el proyecto.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Informe Final de Resultados (IFR): </w:t>
      </w:r>
      <w:r>
        <w:rPr>
          <w:rFonts w:ascii="Arial" w:cs="Arial" w:eastAsia="Arial" w:hAnsi="Arial"/>
        </w:rPr>
        <w:t xml:space="preserve">Documento con la información técnica y financiera de un proyecto, elaborado por su responsable.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Revisión sistemática: </w:t>
      </w:r>
      <w:r>
        <w:rPr>
          <w:rFonts w:ascii="Arial" w:cs="Arial" w:eastAsia="Arial" w:hAnsi="Arial"/>
        </w:rPr>
        <w:t xml:space="preserve">Evaluación ordenada y explícita de la literatura existente que busca responder una pregunta clara de investigación sobre un tema específico.</w:t>
      </w:r>
    </w:p>
    <w:p>
      <w:pPr>
        <w:spacing w:after="80" w:line="300"/>
        <w:jc w:val="both"/>
      </w:pPr>
      <w:r>
        <w:rPr>
          <w:rFonts w:ascii="Arial" w:cs="Arial" w:eastAsia="Arial" w:hAnsi="Arial"/>
        </w:rPr>
        <w:t xml:space="preserve">Según la NTP 732.001, una actividad de I+D debe reunir los siguientes criterios: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Novedosa:</w:t>
      </w:r>
      <w:r>
        <w:rPr>
          <w:rFonts w:ascii="Arial" w:cs="Arial" w:eastAsia="Arial" w:hAnsi="Arial"/>
        </w:rPr>
        <w:t xml:space="preserve"> Crea conocimiento nuevo adaptado a su contexto. En universidades e institutos se buscan avances en el conocimiento; en empresas se compara con el conocimiento existente en la industria; en la colaboración universidad-empresa, los hallazgos deben ser nuevos para el negocio y aún no empleados en la industria.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Creativa:</w:t>
      </w:r>
      <w:r>
        <w:rPr>
          <w:rFonts w:ascii="Arial" w:cs="Arial" w:eastAsia="Arial" w:hAnsi="Arial"/>
        </w:rPr>
        <w:t xml:space="preserve"> Genera conceptos o ideas que mejoran el conocimiento existente; excluye los cambios rutinarios de productos o procesos. En las artes se requiere una evaluación diferenciada.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Incierta:</w:t>
      </w:r>
      <w:r>
        <w:rPr>
          <w:rFonts w:ascii="Arial" w:cs="Arial" w:eastAsia="Arial" w:hAnsi="Arial"/>
        </w:rPr>
        <w:t xml:space="preserve"> Existe incertidumbre sobre el resultado final, el costo y la duración, en especial en la etapa inicial. No lograr los resultados esperados no significa necesariamente un fallo metodológico; con recursos del Estado se busca que la incertidumbre sea mínima.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Sistemática:</w:t>
      </w:r>
      <w:r>
        <w:rPr>
          <w:rFonts w:ascii="Arial" w:cs="Arial" w:eastAsia="Arial" w:hAnsi="Arial"/>
        </w:rPr>
        <w:t xml:space="preserve"> Está planificada y presupuestada, y se ejecuta según un plan, con registro del proceso y de los resultados.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Transferible o reproducible:</w:t>
      </w:r>
      <w:r>
        <w:rPr>
          <w:rFonts w:ascii="Arial" w:cs="Arial" w:eastAsia="Arial" w:hAnsi="Arial"/>
        </w:rPr>
        <w:t xml:space="preserve"> Permite transferir los conocimientos generados, sean positivos o negativos, y que otros investigadores los reproduzcan. Por ello se divulga en revistas científicas indizadas con evaluación por pares.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4.3 Financiamiento y fondos concursables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Bases del fondo concursable: </w:t>
      </w:r>
      <w:r>
        <w:rPr>
          <w:rFonts w:ascii="Arial" w:cs="Arial" w:eastAsia="Arial" w:hAnsi="Arial"/>
        </w:rPr>
        <w:t xml:space="preserve">Documento oficial del concurso que reglamenta el propósito, los requisitos y condiciones de postulación, los criterios y el proceso de evaluación y selección. Establece los compromisos de los seleccionados y es de cumplimiento obligatorio.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Bases integradas: </w:t>
      </w:r>
      <w:r>
        <w:rPr>
          <w:rFonts w:ascii="Arial" w:cs="Arial" w:eastAsia="Arial" w:hAnsi="Arial"/>
        </w:rPr>
        <w:t xml:space="preserve">Versión definitiva de las bases, que incorpora la absolución de las consultas presentadas durante la convocatoria. Si no hubo consultas, las bases publicadas se mantienen como definitivas.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Financiamiento: </w:t>
      </w:r>
      <w:r>
        <w:rPr>
          <w:rFonts w:ascii="Arial" w:cs="Arial" w:eastAsia="Arial" w:hAnsi="Arial"/>
        </w:rPr>
        <w:t xml:space="preserve">Asignación de recursos de un fondo concursable u otra fuente para ejecutar una actividad o proyecto de investigación y lograr los resultados del POP, conforme a los rubros financiables y a las normas de la entidad que financia.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Proyecto seleccionado: </w:t>
      </w:r>
      <w:r>
        <w:rPr>
          <w:rFonts w:ascii="Arial" w:cs="Arial" w:eastAsia="Arial" w:hAnsi="Arial"/>
        </w:rPr>
        <w:t xml:space="preserve">Proyecto que cumple todos los requisitos de la convocatoria y cuenta con el documento formal de aprobación de la entidad convocante.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4.4 Niveles de madurez TRL y CRL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TRL (Technology Readiness Level) o nivel de madurez tecnológica: </w:t>
      </w:r>
      <w:r>
        <w:rPr>
          <w:rFonts w:ascii="Arial" w:cs="Arial" w:eastAsia="Arial" w:hAnsi="Arial"/>
        </w:rPr>
        <w:t xml:space="preserve">Metodología que determina el estado o evolución de una tecnología y la preparación que requiere para estar disponible en la industria.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7726"/>
      </w:tblGrid>
      <w:tr>
        <w:trPr>
          <w:tblHeader/>
        </w:trP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Nivel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Descripción</w:t>
            </w:r>
          </w:p>
        </w:tc>
      </w:tr>
      <w:t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TRL 1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Principios básicos reportados de la nueva tecnología propuesta.</w:t>
            </w:r>
          </w:p>
        </w:tc>
      </w:tr>
      <w:t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TRL 2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Formulación conceptual de la propuesta tecnológica.</w:t>
            </w:r>
          </w:p>
        </w:tc>
      </w:tr>
      <w:t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TRL 3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Desarrollo experimental o prueba del concepto tecnológico (prueba de concepto).</w:t>
            </w:r>
          </w:p>
        </w:tc>
      </w:tr>
      <w:t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TRL 4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Validación tecnológica en entorno de laboratorio: pruebas de baja fidelidad.</w:t>
            </w:r>
          </w:p>
        </w:tc>
      </w:tr>
      <w:t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TRL 5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Validación tecnológica en entorno de laboratorio: pruebas de alta fidelidad.</w:t>
            </w:r>
          </w:p>
        </w:tc>
      </w:tr>
      <w:t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TRL 6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Demostración de funcionamiento del prototipo en entorno de laboratorio o de planta piloto.</w:t>
            </w:r>
          </w:p>
        </w:tc>
      </w:tr>
      <w:t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TRL 7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Demostración de funcionamiento del prototipo en un entorno operacional real.</w:t>
            </w:r>
          </w:p>
        </w:tc>
      </w:tr>
      <w:t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TRL 8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Tecnología finalizada, validada y certificada.</w:t>
            </w:r>
          </w:p>
        </w:tc>
      </w:tr>
      <w:t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TRL 9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Tecnología en proceso de implementación o comercialización (emprendimiento).</w:t>
            </w:r>
          </w:p>
        </w:tc>
      </w:tr>
    </w:tbl>
    <w:p>
      <w:pPr>
        <w:spacing w:after="120"/>
      </w:pP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CRL (Commercial Readiness Level) o nivel de madurez comercial: </w:t>
      </w:r>
      <w:r>
        <w:rPr>
          <w:rFonts w:ascii="Arial" w:cs="Arial" w:eastAsia="Arial" w:hAnsi="Arial"/>
        </w:rPr>
        <w:t xml:space="preserve">Complemento del TRL referido a la necesidad e identificación de mercado. Se aplica de manera opcional cuando la tecnología o el proyecto de I+D forma parte de un emprendimiento tecnológico y se cuenta con información de mercado.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7726"/>
      </w:tblGrid>
      <w:tr>
        <w:trPr>
          <w:tblHeader/>
        </w:trP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Nivel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Descripción</w:t>
            </w:r>
          </w:p>
        </w:tc>
      </w:tr>
      <w:t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CRL 1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Conocimiento básico de aplicaciones y uso. Información de mercado limitada, incidental o inexistente.</w:t>
            </w:r>
          </w:p>
        </w:tc>
      </w:tr>
      <w:t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CRL 2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Identificación superficial de aplicaciones potenciales. Idea de producto especulativa y no validada. Análisis de mercado con información secundaria.</w:t>
            </w:r>
          </w:p>
        </w:tc>
      </w:tr>
      <w:t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CRL 3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Identificación más desarrollada de aplicaciones potenciales. Una o más hipótesis del prototipo de producto. Análisis de mercado con información primaria.</w:t>
            </w:r>
          </w:p>
        </w:tc>
      </w:tr>
      <w:t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CRL 4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Idea y refinamiento del producto. Análisis tecnología-producto-mercado, propuesta de valor, análisis competitivo básico; identificación de proveedores, socios, clientes potenciales y requisitos de certificación o reglamentación.</w:t>
            </w:r>
          </w:p>
        </w:tc>
      </w:tr>
      <w:t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CRL 5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Modelo costo/rendimiento y diseño de producto. Propuesta de valor validada; aplicación y mercado identificados; vínculo con clientes, proveedores y socios; análisis competitivo y financiero básico de corto y largo plazo.</w:t>
            </w:r>
          </w:p>
        </w:tc>
      </w:tr>
      <w:t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CRL 6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Optimización del diseño de producto. Asociaciones en la cadena de valor; requisitos de certificación y normativa comprendidos; modelo financiero refinado.</w:t>
            </w:r>
          </w:p>
        </w:tc>
      </w:tr>
      <w:t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CRL 7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Diseño de producto completo. Acuerdos con proveedores y clientes; cumplimiento de certificaciones y normativas; modelo financiero integral con etapas de producción temprana y tardía.</w:t>
            </w:r>
          </w:p>
        </w:tc>
      </w:tr>
      <w:t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CRL 8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Calificación del cliente; primeras ventas; comercialización en maduración; supuestos comerciales validados de forma continua e iterativa.</w:t>
            </w:r>
          </w:p>
        </w:tc>
      </w:tr>
      <w:tr>
        <w:tc>
          <w:tcPr>
            <w:tcW w:type="dxa" w:w="1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CRL 9</w:t>
            </w:r>
          </w:p>
        </w:tc>
        <w:tc>
          <w:tcPr>
            <w:tcW w:type="dxa" w:w="7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Despliegue generalizado de la comercialización.</w:t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4.5 Objetivos de Desarrollo Sostenible (ODS)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Adoptados en 2015 por los Estados Miembros de las Naciones Unidas como un llamado universal para poner fin a la pobreza, proteger el planeta y garantizar que todas las personas gocen de paz y prosperidad para 2030. Los 17 ODS están integrados y equilibran la sostenibilidad ambiental, económica y social: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8126"/>
      </w:tblGrid>
      <w:tr>
        <w:trPr>
          <w:tblHeader/>
        </w:trPr>
        <w:tc>
          <w:tcPr>
            <w:tcW w:type="dxa" w:w="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ODS</w:t>
            </w:r>
          </w:p>
        </w:tc>
        <w:tc>
          <w:tcPr>
            <w:tcW w:type="dxa" w:w="8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Objetivo</w:t>
            </w:r>
          </w:p>
        </w:tc>
      </w:tr>
      <w:tr>
        <w:tc>
          <w:tcPr>
            <w:tcW w:type="dxa" w:w="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dxa" w:w="8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Poner fin a la pobreza en todas sus formas y en todo el mundo.</w:t>
            </w:r>
          </w:p>
        </w:tc>
      </w:tr>
      <w:tr>
        <w:tc>
          <w:tcPr>
            <w:tcW w:type="dxa" w:w="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dxa" w:w="8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Poner fin al hambre, lograr la seguridad alimentaria y la mejora de la nutrición y promover la agricultura sostenible.</w:t>
            </w:r>
          </w:p>
        </w:tc>
      </w:tr>
      <w:tr>
        <w:tc>
          <w:tcPr>
            <w:tcW w:type="dxa" w:w="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dxa" w:w="8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Garantizar una vida sana y promover el bienestar de todos a todas las edades.</w:t>
            </w:r>
          </w:p>
        </w:tc>
      </w:tr>
      <w:tr>
        <w:tc>
          <w:tcPr>
            <w:tcW w:type="dxa" w:w="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dxa" w:w="8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Garantizar una educación inclusiva y equitativa de calidad y promover oportunidades de aprendizaje permanente para todos.</w:t>
            </w:r>
          </w:p>
        </w:tc>
      </w:tr>
      <w:tr>
        <w:tc>
          <w:tcPr>
            <w:tcW w:type="dxa" w:w="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dxa" w:w="8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Lograr la igualdad de género y empoderar a todas las mujeres y las niñas.</w:t>
            </w:r>
          </w:p>
        </w:tc>
      </w:tr>
      <w:tr>
        <w:tc>
          <w:tcPr>
            <w:tcW w:type="dxa" w:w="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</w:t>
            </w:r>
          </w:p>
        </w:tc>
        <w:tc>
          <w:tcPr>
            <w:tcW w:type="dxa" w:w="8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Garantizar la disponibilidad y la gestión sostenible del agua y el saneamiento para todos.</w:t>
            </w:r>
          </w:p>
        </w:tc>
      </w:tr>
      <w:tr>
        <w:tc>
          <w:tcPr>
            <w:tcW w:type="dxa" w:w="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</w:t>
            </w:r>
          </w:p>
        </w:tc>
        <w:tc>
          <w:tcPr>
            <w:tcW w:type="dxa" w:w="8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Garantizar el acceso a una energía asequible, fiable, sostenible y moderna para todos.</w:t>
            </w:r>
          </w:p>
        </w:tc>
      </w:tr>
      <w:tr>
        <w:tc>
          <w:tcPr>
            <w:tcW w:type="dxa" w:w="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</w:t>
            </w:r>
          </w:p>
        </w:tc>
        <w:tc>
          <w:tcPr>
            <w:tcW w:type="dxa" w:w="8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Promover el crecimiento económico sostenido, inclusivo y sostenible, el empleo pleno y productivo y el trabajo decente para todos.</w:t>
            </w:r>
          </w:p>
        </w:tc>
      </w:tr>
      <w:tr>
        <w:tc>
          <w:tcPr>
            <w:tcW w:type="dxa" w:w="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</w:t>
            </w:r>
          </w:p>
        </w:tc>
        <w:tc>
          <w:tcPr>
            <w:tcW w:type="dxa" w:w="8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Construir infraestructuras resilientes, promover la industrialización inclusiva y sostenible y fomentar la innovación.</w:t>
            </w:r>
          </w:p>
        </w:tc>
      </w:tr>
      <w:tr>
        <w:tc>
          <w:tcPr>
            <w:tcW w:type="dxa" w:w="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</w:t>
            </w:r>
          </w:p>
        </w:tc>
        <w:tc>
          <w:tcPr>
            <w:tcW w:type="dxa" w:w="8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Reducir la desigualdad en los países y entre ellos.</w:t>
            </w:r>
          </w:p>
        </w:tc>
      </w:tr>
      <w:tr>
        <w:tc>
          <w:tcPr>
            <w:tcW w:type="dxa" w:w="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</w:t>
            </w:r>
          </w:p>
        </w:tc>
        <w:tc>
          <w:tcPr>
            <w:tcW w:type="dxa" w:w="8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Lograr que las ciudades y los asentamientos humanos sean inclusivos, seguros, resilientes y sostenibles.</w:t>
            </w:r>
          </w:p>
        </w:tc>
      </w:tr>
      <w:tr>
        <w:tc>
          <w:tcPr>
            <w:tcW w:type="dxa" w:w="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</w:t>
            </w:r>
          </w:p>
        </w:tc>
        <w:tc>
          <w:tcPr>
            <w:tcW w:type="dxa" w:w="8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Garantizar modalidades de consumo y producción sostenibles.</w:t>
            </w:r>
          </w:p>
        </w:tc>
      </w:tr>
      <w:tr>
        <w:tc>
          <w:tcPr>
            <w:tcW w:type="dxa" w:w="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13</w:t>
            </w:r>
          </w:p>
        </w:tc>
        <w:tc>
          <w:tcPr>
            <w:tcW w:type="dxa" w:w="8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Adoptar medidas urgentes para combatir el cambio climático y sus efectos.</w:t>
            </w:r>
          </w:p>
        </w:tc>
      </w:tr>
      <w:tr>
        <w:tc>
          <w:tcPr>
            <w:tcW w:type="dxa" w:w="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14</w:t>
            </w:r>
          </w:p>
        </w:tc>
        <w:tc>
          <w:tcPr>
            <w:tcW w:type="dxa" w:w="8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Conservar y utilizar sosteniblemente los océanos, los mares y los recursos marinos para el desarrollo sostenible.</w:t>
            </w:r>
          </w:p>
        </w:tc>
      </w:tr>
      <w:tr>
        <w:tc>
          <w:tcPr>
            <w:tcW w:type="dxa" w:w="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</w:t>
            </w:r>
          </w:p>
        </w:tc>
        <w:tc>
          <w:tcPr>
            <w:tcW w:type="dxa" w:w="8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Proteger, restablecer y promover el uso sostenible de los ecosistemas terrestres, gestionar sosteniblemente los bosques, luchar contra la desertificación, detener e invertir la degradación de las tierras y detener la pérdida de biodiversidad.</w:t>
            </w:r>
          </w:p>
        </w:tc>
      </w:tr>
      <w:tr>
        <w:tc>
          <w:tcPr>
            <w:tcW w:type="dxa" w:w="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16</w:t>
            </w:r>
          </w:p>
        </w:tc>
        <w:tc>
          <w:tcPr>
            <w:tcW w:type="dxa" w:w="8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Promover sociedades pacíficas e inclusivas para el desarrollo sostenible, facilitar el acceso a la justicia para todos y construir a todos los niveles instituciones eficaces e inclusivas que rindan cuentas.</w:t>
            </w:r>
          </w:p>
        </w:tc>
      </w:tr>
      <w:tr>
        <w:tc>
          <w:tcPr>
            <w:tcW w:type="dxa" w:w="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17</w:t>
            </w:r>
          </w:p>
        </w:tc>
        <w:tc>
          <w:tcPr>
            <w:tcW w:type="dxa" w:w="8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Fortalecer los medios de implementación y revitalizar la Alianza Mundial para el Desarrollo Sostenible.</w:t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4.6 Nivel de Producción Intelectual Universitaria (PIU)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La PIU se clasifica en niveles que relacionan cada etapa del modelo I+D+i+e con su madurez tecnológica (TRL) y comercial (CRL). Todos los niveles pueden vincularse con cualquiera de las áreas OCDE y de los ODS.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226"/>
        <w:gridCol w:w="1200"/>
        <w:gridCol w:w="1200"/>
        <w:gridCol w:w="1350"/>
        <w:gridCol w:w="1350"/>
      </w:tblGrid>
      <w:tr>
        <w:trPr>
          <w:tblHeader/>
        </w:trPr>
        <w:tc>
          <w:tcPr>
            <w:tcW w:type="dxa" w:w="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32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Nivel de producción intelectual</w:t>
            </w:r>
          </w:p>
        </w:tc>
        <w:tc>
          <w:tcPr>
            <w:tcW w:type="dxa" w:w="12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TRL</w:t>
            </w:r>
          </w:p>
        </w:tc>
        <w:tc>
          <w:tcPr>
            <w:tcW w:type="dxa" w:w="12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CRL</w:t>
            </w:r>
          </w:p>
        </w:tc>
        <w:tc>
          <w:tcPr>
            <w:tcW w:type="dxa" w:w="135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OCDE</w:t>
            </w:r>
          </w:p>
        </w:tc>
        <w:tc>
          <w:tcPr>
            <w:tcW w:type="dxa" w:w="135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ODS</w:t>
            </w:r>
          </w:p>
        </w:tc>
      </w:tr>
      <w:tr>
        <w:tc>
          <w:tcPr>
            <w:tcW w:type="dxa" w:w="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</w:t>
            </w:r>
          </w:p>
        </w:tc>
        <w:tc>
          <w:tcPr>
            <w:tcW w:type="dxa" w:w="32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Investigación básica</w:t>
            </w:r>
          </w:p>
        </w:tc>
        <w:tc>
          <w:tcPr>
            <w:tcW w:type="dxa" w:w="12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12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135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Todas</w:t>
            </w:r>
          </w:p>
        </w:tc>
        <w:tc>
          <w:tcPr>
            <w:tcW w:type="dxa" w:w="135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Todos</w:t>
            </w:r>
          </w:p>
        </w:tc>
      </w:tr>
      <w:tr>
        <w:tc>
          <w:tcPr>
            <w:tcW w:type="dxa" w:w="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</w:t>
            </w:r>
          </w:p>
        </w:tc>
        <w:tc>
          <w:tcPr>
            <w:tcW w:type="dxa" w:w="32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Investigación aplicada</w:t>
            </w:r>
          </w:p>
        </w:tc>
        <w:tc>
          <w:tcPr>
            <w:tcW w:type="dxa" w:w="12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12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 y 3</w:t>
            </w:r>
          </w:p>
        </w:tc>
        <w:tc>
          <w:tcPr>
            <w:tcW w:type="dxa" w:w="135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Todas</w:t>
            </w:r>
          </w:p>
        </w:tc>
        <w:tc>
          <w:tcPr>
            <w:tcW w:type="dxa" w:w="135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Todos</w:t>
            </w:r>
          </w:p>
        </w:tc>
      </w:tr>
      <w:tr>
        <w:tc>
          <w:tcPr>
            <w:tcW w:type="dxa" w:w="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dxa" w:w="32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Desarrollo experimental</w:t>
            </w:r>
          </w:p>
        </w:tc>
        <w:tc>
          <w:tcPr>
            <w:tcW w:type="dxa" w:w="12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y 4</w:t>
            </w:r>
          </w:p>
        </w:tc>
        <w:tc>
          <w:tcPr>
            <w:tcW w:type="dxa" w:w="12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135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Todas</w:t>
            </w:r>
          </w:p>
        </w:tc>
        <w:tc>
          <w:tcPr>
            <w:tcW w:type="dxa" w:w="135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Todos</w:t>
            </w:r>
          </w:p>
        </w:tc>
      </w:tr>
      <w:tr>
        <w:tc>
          <w:tcPr>
            <w:tcW w:type="dxa" w:w="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dxa" w:w="32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Desarrollo tecnológico</w:t>
            </w:r>
          </w:p>
        </w:tc>
        <w:tc>
          <w:tcPr>
            <w:tcW w:type="dxa" w:w="12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 y 6</w:t>
            </w:r>
          </w:p>
        </w:tc>
        <w:tc>
          <w:tcPr>
            <w:tcW w:type="dxa" w:w="12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 y 6</w:t>
            </w:r>
          </w:p>
        </w:tc>
        <w:tc>
          <w:tcPr>
            <w:tcW w:type="dxa" w:w="135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Todas</w:t>
            </w:r>
          </w:p>
        </w:tc>
        <w:tc>
          <w:tcPr>
            <w:tcW w:type="dxa" w:w="135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Todos</w:t>
            </w:r>
          </w:p>
        </w:tc>
      </w:tr>
      <w:tr>
        <w:tc>
          <w:tcPr>
            <w:tcW w:type="dxa" w:w="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</w:t>
            </w:r>
          </w:p>
        </w:tc>
        <w:tc>
          <w:tcPr>
            <w:tcW w:type="dxa" w:w="32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Innovación</w:t>
            </w:r>
          </w:p>
        </w:tc>
        <w:tc>
          <w:tcPr>
            <w:tcW w:type="dxa" w:w="12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 y 8</w:t>
            </w:r>
          </w:p>
        </w:tc>
        <w:tc>
          <w:tcPr>
            <w:tcW w:type="dxa" w:w="12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135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Todas</w:t>
            </w:r>
          </w:p>
        </w:tc>
        <w:tc>
          <w:tcPr>
            <w:tcW w:type="dxa" w:w="135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Todos</w:t>
            </w:r>
          </w:p>
        </w:tc>
      </w:tr>
      <w:tr>
        <w:tc>
          <w:tcPr>
            <w:tcW w:type="dxa" w:w="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</w:t>
            </w:r>
          </w:p>
        </w:tc>
        <w:tc>
          <w:tcPr>
            <w:tcW w:type="dxa" w:w="32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Emprendimiento</w:t>
            </w:r>
          </w:p>
        </w:tc>
        <w:tc>
          <w:tcPr>
            <w:tcW w:type="dxa" w:w="12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</w:t>
            </w:r>
          </w:p>
        </w:tc>
        <w:tc>
          <w:tcPr>
            <w:tcW w:type="dxa" w:w="12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 y 9</w:t>
            </w:r>
          </w:p>
        </w:tc>
        <w:tc>
          <w:tcPr>
            <w:tcW w:type="dxa" w:w="135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Todas</w:t>
            </w:r>
          </w:p>
        </w:tc>
        <w:tc>
          <w:tcPr>
            <w:tcW w:type="dxa" w:w="135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Todos</w:t>
            </w:r>
          </w:p>
        </w:tc>
      </w:tr>
    </w:tbl>
    <w:p>
      <w:pPr>
        <w:spacing w:after="160"/>
        <w:jc w:val="left"/>
      </w:pPr>
      <w:r>
        <w:rPr>
          <w:rFonts w:ascii="Arial" w:cs="Arial" w:eastAsia="Arial" w:hAnsi="Arial"/>
          <w:i/>
          <w:iCs/>
          <w:color w:val="4B5870"/>
          <w:sz w:val="18"/>
          <w:szCs w:val="18"/>
        </w:rPr>
        <w:t xml:space="preserve">Fuente: SOPECIN (2022).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Los </w:t>
      </w:r>
      <w:r>
        <w:rPr>
          <w:rFonts w:ascii="Arial" w:cs="Arial" w:eastAsia="Arial" w:hAnsi="Arial"/>
          <w:b/>
          <w:bCs/>
        </w:rPr>
        <w:t xml:space="preserve">productos PIU</w:t>
      </w:r>
      <w:r>
        <w:rPr>
          <w:rFonts w:ascii="Arial" w:cs="Arial" w:eastAsia="Arial" w:hAnsi="Arial"/>
        </w:rPr>
        <w:t xml:space="preserve"> pueden ser: artículos de opinión, estudios de caso, eventos académicos, informes breves, cartas, investigaciones originales, revisiones de metodologías o métodos, libros o capítulos de libro, editoriales, encuestas cortas, guías, opiniones de expertos, prototipos, trabajos de investigación, tesinas y tesis (bachiller, título profesional, maestría o doctorado). Estos productos determinan el grado de madurez de las líneas de investigación.</w:t>
      </w:r>
    </w:p>
    <w:p>
      <w:pPr>
        <w:pStyle w:val="Heading3"/>
        <w:spacing w:after="80" w:before="180"/>
      </w:pPr>
      <w:r>
        <w:rPr>
          <w:rFonts w:ascii="Arial" w:cs="Arial" w:eastAsia="Arial" w:hAnsi="Arial"/>
        </w:rPr>
        <w:t xml:space="preserve">Categorización de las líneas de investigación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026"/>
      </w:tblGrid>
      <w:tr>
        <w:trPr>
          <w:tblHeader/>
        </w:trPr>
        <w:tc>
          <w:tcPr>
            <w:tcW w:type="dxa" w:w="20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Categoría</w:t>
            </w:r>
          </w:p>
        </w:tc>
        <w:tc>
          <w:tcPr>
            <w:tcW w:type="dxa" w:w="70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Características</w:t>
            </w:r>
          </w:p>
        </w:tc>
      </w:tr>
      <w:tr>
        <w:tc>
          <w:tcPr>
            <w:tcW w:type="dxa" w:w="20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Consolidada</w:t>
            </w:r>
          </w:p>
        </w:tc>
        <w:tc>
          <w:tcPr>
            <w:tcW w:type="dxa" w:w="70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Madurez alta: publicaciones en revistas indizadas de impacto internacional, proyectos con financiamiento externo de fondos concursables, derechos de propiedad intelectual y patentes, tesistas de pregrado y posgrado, instalaciones y equipamiento altamente sofisticado. Trayectoria continua y aporte sostenible, con impacto nacional o internacional.</w:t>
            </w:r>
          </w:p>
        </w:tc>
      </w:tr>
      <w:tr>
        <w:tc>
          <w:tcPr>
            <w:tcW w:type="dxa" w:w="20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Por consolidar</w:t>
            </w:r>
          </w:p>
        </w:tc>
        <w:tc>
          <w:tcPr>
            <w:tcW w:type="dxa" w:w="70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Madurez media: publicaciones en revistas indizadas de impacto nacional, proyectos con financiamiento interno o externo de fondos concursables, tesistas de pregrado, instalaciones y equipamiento adecuados. Impacto regional y nacional.</w:t>
            </w:r>
          </w:p>
        </w:tc>
      </w:tr>
      <w:tr>
        <w:tc>
          <w:tcPr>
            <w:tcW w:type="dxa" w:w="20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Emergente</w:t>
            </w:r>
          </w:p>
        </w:tc>
        <w:tc>
          <w:tcPr>
            <w:tcW w:type="dxa" w:w="70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Madurez baja: publicaciones en revistas no indizadas, sin financiamiento de fondos concursables, número reducido de tesistas y posibilidad de acceder a instalaciones y equipamiento para investigación.</w:t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4.7 Términos del RENATI (SUNEDU)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Del Reglamento del Registro Nacional de Trabajos de Investigación para optar grados académicos y títulos profesionales (RENATI) se toman las siguientes definiciones: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Autor: </w:t>
      </w:r>
      <w:r>
        <w:rPr>
          <w:rFonts w:ascii="Arial" w:cs="Arial" w:eastAsia="Arial" w:hAnsi="Arial"/>
        </w:rPr>
        <w:t xml:space="preserve">Persona natural que ha producido un trabajo de investigación, tesis, trabajo de suficiencia profesional o trabajo académico conducente a la obtención de un grado académico o título profesional.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Grado académico: </w:t>
      </w:r>
      <w:r>
        <w:rPr>
          <w:rFonts w:ascii="Arial" w:cs="Arial" w:eastAsia="Arial" w:hAnsi="Arial"/>
        </w:rPr>
        <w:t xml:space="preserve">Reconocimiento de la formación educativa o profesional otorgado por una universidad, institución o escuela de educación superior autorizada a otorgar diplomas de bachiller, maestro o doctor.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Título profesional: </w:t>
      </w:r>
      <w:r>
        <w:rPr>
          <w:rFonts w:ascii="Arial" w:cs="Arial" w:eastAsia="Arial" w:hAnsi="Arial"/>
        </w:rPr>
        <w:t xml:space="preserve">Reconocimiento que se obtiene tras aprobar una tesis o un trabajo de suficiencia profesional. Requiere el grado de bachiller.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Tesis: </w:t>
      </w:r>
      <w:r>
        <w:rPr>
          <w:rFonts w:ascii="Arial" w:cs="Arial" w:eastAsia="Arial" w:hAnsi="Arial"/>
        </w:rPr>
        <w:t xml:space="preserve">Modalidad de obtención del grado académico o título profesional mediante un documento original e inédito que contiene un trabajo de investigación en un área académica determinada, con sustentación pública ante un jurado. Puede publicarse un artículo derivado de la tesis de maestría o doctorado en revistas indizadas de prestigio.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Trabajo de investigación: </w:t>
      </w:r>
      <w:r>
        <w:rPr>
          <w:rFonts w:ascii="Arial" w:cs="Arial" w:eastAsia="Arial" w:hAnsi="Arial"/>
        </w:rPr>
        <w:t xml:space="preserve">Modalidad de obtención del grado académico que implica la generación de conocimiento en un campo de estudio. Puede ser individual o grupal, es de carácter público, aplica una metodología, aporta evidencia verificable y mantiene un espíritu autocrítico. Es la única modalidad para el grado de bachiller y una de las dos para el grado de maestro.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Trabajo académico: </w:t>
      </w:r>
      <w:r>
        <w:rPr>
          <w:rFonts w:ascii="Arial" w:cs="Arial" w:eastAsia="Arial" w:hAnsi="Arial"/>
        </w:rPr>
        <w:t xml:space="preserve">Modalidad de titulación que se desarrolla en un campo de estudio y usa al menos una herramienta metodológica; puede adoptar distintos formatos (proyecto, tesina, ensayo, monografía, entre otros). Se requiere una tesis o un trabajo académico para el título de segunda especialidad.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Trabajo de suficiencia profesional: </w:t>
      </w:r>
      <w:r>
        <w:rPr>
          <w:rFonts w:ascii="Arial" w:cs="Arial" w:eastAsia="Arial" w:hAnsi="Arial"/>
        </w:rPr>
        <w:t xml:space="preserve">Modalidad de titulación en la que el bachiller demuestra y documenta el dominio de las competencias profesionales adquiridas, mediante experiencia acreditada y un informe que puede sustentarse ante un jurado. Se aplica solo para el título profesional.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Material: </w:t>
      </w:r>
      <w:r>
        <w:rPr>
          <w:rFonts w:ascii="Arial" w:cs="Arial" w:eastAsia="Arial" w:hAnsi="Arial"/>
        </w:rPr>
        <w:t xml:space="preserve">Versión digital de los trabajos de investigación que registran las instituciones de educación superior, susceptible de almacenarse en el Repositorio Digital RENATI.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Metadatos: </w:t>
      </w:r>
      <w:r>
        <w:rPr>
          <w:rFonts w:ascii="Arial" w:cs="Arial" w:eastAsia="Arial" w:hAnsi="Arial"/>
        </w:rPr>
        <w:t xml:space="preserve">Información estandarizada que describe cada material (autor, título, palabras clave, materia, formato, entre otros) y facilita su búsqueda y acceso.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Periodo de confidencialidad o embargo: </w:t>
      </w:r>
      <w:r>
        <w:rPr>
          <w:rFonts w:ascii="Arial" w:cs="Arial" w:eastAsia="Arial" w:hAnsi="Arial"/>
        </w:rPr>
        <w:t xml:space="preserve">Tiempo establecido por el autor durante el cual el texto completo del trabajo no está disponible en el repositorio.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Plagio: </w:t>
      </w:r>
      <w:r>
        <w:rPr>
          <w:rFonts w:ascii="Arial" w:cs="Arial" w:eastAsia="Arial" w:hAnsi="Arial"/>
        </w:rPr>
        <w:t xml:space="preserve">Apoderamiento de todos o algunos elementos originales de la obra de otro autor, presentándolos como propios, ya sea haciendo pasar la obra como propia o utilizando sus elementos creativos para elaborar la obra ilegítima.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Propiedad intelectual: </w:t>
      </w:r>
      <w:r>
        <w:rPr>
          <w:rFonts w:ascii="Arial" w:cs="Arial" w:eastAsia="Arial" w:hAnsi="Arial"/>
        </w:rPr>
        <w:t xml:space="preserve">Derecho del autor sobre el contenido de un material, siendo el único que puede autorizar su uso.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Repositorio académico digital: </w:t>
      </w:r>
      <w:r>
        <w:rPr>
          <w:rFonts w:ascii="Arial" w:cs="Arial" w:eastAsia="Arial" w:hAnsi="Arial"/>
        </w:rPr>
        <w:t xml:space="preserve">Sitio web centralizado de una institución de educación superior destinado a reunir, conservar, preservar y difundir su material.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Repositorio Digital RENATI: </w:t>
      </w:r>
      <w:r>
        <w:rPr>
          <w:rFonts w:ascii="Arial" w:cs="Arial" w:eastAsia="Arial" w:hAnsi="Arial"/>
        </w:rPr>
        <w:t xml:space="preserve">Sitio web centralizado de carácter académico que alberga material y metadatos de las instituciones de educación superior y de los grados y títulos reconocidos del extranjero.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Repositorio ALICIA: </w:t>
      </w:r>
      <w:r>
        <w:rPr>
          <w:rFonts w:ascii="Arial" w:cs="Arial" w:eastAsia="Arial" w:hAnsi="Arial"/>
        </w:rPr>
        <w:t xml:space="preserve">Repositorio Nacional Digital de Ciencia, Tecnología e Innovación de Acceso Abierto, administrado por el CONCYTEC.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Tipos de acceso: </w:t>
      </w:r>
      <w:r>
        <w:rPr>
          <w:rFonts w:ascii="Arial" w:cs="Arial" w:eastAsia="Arial" w:hAnsi="Arial"/>
          <w:b/>
          <w:bCs/>
        </w:rPr>
        <w:t xml:space="preserve">a) Acceso abierto:</w:t>
      </w:r>
      <w:r>
        <w:rPr>
          <w:rFonts w:ascii="Arial" w:cs="Arial" w:eastAsia="Arial" w:hAnsi="Arial"/>
        </w:rPr>
        <w:t xml:space="preserve"> el texto completo es público y accesible para cualquier usuario. </w:t>
      </w:r>
      <w:r>
        <w:rPr>
          <w:rFonts w:ascii="Arial" w:cs="Arial" w:eastAsia="Arial" w:hAnsi="Arial"/>
          <w:b/>
          <w:bCs/>
        </w:rPr>
        <w:t xml:space="preserve">b) Acceso restringido:</w:t>
      </w:r>
      <w:r>
        <w:rPr>
          <w:rFonts w:ascii="Arial" w:cs="Arial" w:eastAsia="Arial" w:hAnsi="Arial"/>
        </w:rPr>
        <w:t xml:space="preserve"> solo se accede a los metadatos, cuando el autor no autoriza expresamente la difusión del texto completo.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4.8 Integridad y propiedad intelectual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Certificado de Conducta Responsable en Investigación: </w:t>
      </w:r>
      <w:r>
        <w:rPr>
          <w:rFonts w:ascii="Arial" w:cs="Arial" w:eastAsia="Arial" w:hAnsi="Arial"/>
        </w:rPr>
        <w:t xml:space="preserve">Constancia digital que se obtiene al aprobar el curso de Conducta Responsable en Investigación (CRI) del CONCYTEC y que se muestra automáticamente en la ficha pública del investigador en CTI Vitae. No se emiten certificados físicos.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1F2E4B"/>
        </w:rPr>
        <w:t xml:space="preserve">Patente: </w:t>
      </w:r>
      <w:r>
        <w:rPr>
          <w:rFonts w:ascii="Arial" w:cs="Arial" w:eastAsia="Arial" w:hAnsi="Arial"/>
        </w:rPr>
        <w:t xml:space="preserve">Título que otorga el Estado a un titular para ejercer el derecho exclusivo de comercializar una invención durante un periodo de vigencia determinado y en un territorio específico.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El sistema de propiedad intelectual del INDECOPI y las herramientas de protección según el tipo de creación se resumen en los siguientes esquemas:</w:t>
      </w:r>
    </w:p>
    <w:p>
      <w:pPr>
        <w:spacing w:after="60"/>
        <w:jc w:val="center"/>
      </w:pPr>
      <w:r>
        <w:drawing>
          <wp:inline distT="0" distB="0" distL="0" distR="0">
            <wp:extent cx="5143500" cy="2895600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left"/>
      </w:pPr>
      <w:r>
        <w:rPr>
          <w:rFonts w:ascii="Arial" w:cs="Arial" w:eastAsia="Arial" w:hAnsi="Arial"/>
          <w:i/>
          <w:iCs/>
          <w:color w:val="4B5870"/>
          <w:sz w:val="18"/>
          <w:szCs w:val="18"/>
        </w:rPr>
        <w:t xml:space="preserve">Sistema de propiedad intelectual. Tomado de: https://www.patenta.pe/-/propiedad-intelectual-herramientas-disponibles-de-proteccion</w:t>
      </w:r>
    </w:p>
    <w:p>
      <w:pPr>
        <w:spacing w:after="60"/>
        <w:jc w:val="center"/>
      </w:pPr>
      <w:r>
        <w:drawing>
          <wp:inline distT="0" distB="0" distL="0" distR="0">
            <wp:extent cx="5143500" cy="2895600"/>
            <wp:effectExtent t="0" r="0" b="0" l="0"/>
            <wp:docPr id="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left"/>
      </w:pPr>
      <w:r>
        <w:rPr>
          <w:rFonts w:ascii="Arial" w:cs="Arial" w:eastAsia="Arial" w:hAnsi="Arial"/>
          <w:i/>
          <w:iCs/>
          <w:color w:val="4B5870"/>
          <w:sz w:val="18"/>
          <w:szCs w:val="18"/>
        </w:rPr>
        <w:t xml:space="preserve">Herramientas de protección de acuerdo con tu creación. Tomado de: https://www.patenta.pe/-/propiedad-intelectual-herramientas-disponibles-de-proteccion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5. Objetivos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5.1 Objetivo general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Fomentar la investigación y la promoción y divulgación de sus resultados, de la innovación y de la tecnología en una de las seis áreas de conocimiento de la OCDE, mediante semilleros científicos que generen Producción Intelectual Universitaria.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5.2 Objetivos específicos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Formar nuevos investigadores en metodología científica y en el modelo I+D+i+e.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Dar sostenibilidad a líneas de investigación alineadas con las áreas OCDE y los ODS.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Convertir los resultados de los semilleros en productos PIU publicables o protegibles.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Articular a estudiantes, docentes, profesionales e instituciones de la cuádruple hélice (academia, Estado, empresa y sociedad).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</w:rPr>
        <w:t xml:space="preserve">Promover la integridad científica en todas las etapas de la investigación.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6. Organización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6.1 Integración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Puede proponer un semillero cualquier asociado de SOPECIN de las siguientes categorías:</w:t>
      </w:r>
    </w:p>
    <w:p>
      <w:pPr>
        <w:pStyle w:val="ListParagraph"/>
        <w:numPr>
          <w:ilvl w:val="0"/>
          <w:numId w:val="3"/>
        </w:numPr>
        <w:spacing w:after="80" w:line="288"/>
        <w:jc w:val="both"/>
      </w:pPr>
      <w:r>
        <w:rPr>
          <w:rFonts w:ascii="Arial" w:cs="Arial" w:eastAsia="Arial" w:hAnsi="Arial"/>
        </w:rPr>
        <w:t xml:space="preserve">Asociados fundadores.</w:t>
      </w:r>
    </w:p>
    <w:p>
      <w:pPr>
        <w:pStyle w:val="ListParagraph"/>
        <w:numPr>
          <w:ilvl w:val="0"/>
          <w:numId w:val="3"/>
        </w:numPr>
        <w:spacing w:after="80" w:line="288"/>
        <w:jc w:val="both"/>
      </w:pPr>
      <w:r>
        <w:rPr>
          <w:rFonts w:ascii="Arial" w:cs="Arial" w:eastAsia="Arial" w:hAnsi="Arial"/>
        </w:rPr>
        <w:t xml:space="preserve">Asociados principales.</w:t>
      </w:r>
    </w:p>
    <w:p>
      <w:pPr>
        <w:pStyle w:val="ListParagraph"/>
        <w:numPr>
          <w:ilvl w:val="0"/>
          <w:numId w:val="3"/>
        </w:numPr>
        <w:spacing w:after="80" w:line="288"/>
        <w:jc w:val="both"/>
      </w:pPr>
      <w:r>
        <w:rPr>
          <w:rFonts w:ascii="Arial" w:cs="Arial" w:eastAsia="Arial" w:hAnsi="Arial"/>
        </w:rPr>
        <w:t xml:space="preserve">Asociados activos.</w:t>
      </w:r>
    </w:p>
    <w:p>
      <w:pPr>
        <w:pStyle w:val="ListParagraph"/>
        <w:numPr>
          <w:ilvl w:val="0"/>
          <w:numId w:val="3"/>
        </w:numPr>
        <w:spacing w:after="80" w:line="288"/>
        <w:jc w:val="both"/>
      </w:pPr>
      <w:r>
        <w:rPr>
          <w:rFonts w:ascii="Arial" w:cs="Arial" w:eastAsia="Arial" w:hAnsi="Arial"/>
        </w:rPr>
        <w:t xml:space="preserve">Asociados honorarios.</w:t>
      </w:r>
    </w:p>
    <w:p>
      <w:pPr>
        <w:pStyle w:val="ListParagraph"/>
        <w:numPr>
          <w:ilvl w:val="0"/>
          <w:numId w:val="3"/>
        </w:numPr>
        <w:spacing w:after="80" w:line="288"/>
        <w:jc w:val="both"/>
      </w:pPr>
      <w:r>
        <w:rPr>
          <w:rFonts w:ascii="Arial" w:cs="Arial" w:eastAsia="Arial" w:hAnsi="Arial"/>
        </w:rPr>
        <w:t xml:space="preserve">Asociados benefactores.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El asociado presenta el documento </w:t>
      </w:r>
      <w:r>
        <w:rPr>
          <w:rFonts w:ascii="Arial" w:cs="Arial" w:eastAsia="Arial" w:hAnsi="Arial"/>
          <w:b/>
          <w:bCs/>
        </w:rPr>
        <w:t xml:space="preserve">Activación del Semillero (AS)</w:t>
      </w:r>
      <w:r>
        <w:rPr>
          <w:rFonts w:ascii="Arial" w:cs="Arial" w:eastAsia="Arial" w:hAnsi="Arial"/>
        </w:rPr>
        <w:t xml:space="preserve">, contenido en el Anexo 01, al Consejo Directivo, que lo aprueba por mayoría simple. Quien presenta la AS asume el rol de </w:t>
      </w:r>
      <w:r>
        <w:rPr>
          <w:rFonts w:ascii="Arial" w:cs="Arial" w:eastAsia="Arial" w:hAnsi="Arial"/>
          <w:b/>
          <w:bCs/>
        </w:rPr>
        <w:t xml:space="preserve">Responsable del Semillero</w:t>
      </w:r>
      <w:r>
        <w:rPr>
          <w:rFonts w:ascii="Arial" w:cs="Arial" w:eastAsia="Arial" w:hAnsi="Arial"/>
        </w:rPr>
        <w:t xml:space="preserve">.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Cada semillero tendrá un </w:t>
      </w:r>
      <w:r>
        <w:rPr>
          <w:rFonts w:ascii="Arial" w:cs="Arial" w:eastAsia="Arial" w:hAnsi="Arial"/>
          <w:b/>
          <w:bCs/>
        </w:rPr>
        <w:t xml:space="preserve">mínimo de cinco (05) integrantes</w:t>
      </w:r>
      <w:r>
        <w:rPr>
          <w:rFonts w:ascii="Arial" w:cs="Arial" w:eastAsia="Arial" w:hAnsi="Arial"/>
        </w:rPr>
        <w:t xml:space="preserve">, incluido el Responsable. SOPECIN difundirá la invitación a integrar el semillero; la aceptación o el rechazo de los postulantes es responsabilidad exclusiva del Responsable, con criterios objetivos y sin discriminación.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6.2 Roles y responsabilidades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Rol</w:t>
            </w:r>
          </w:p>
        </w:tc>
        <w:tc>
          <w:tcPr>
            <w:tcW w:type="dxa" w:w="6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Responsabilidades</w:t>
            </w:r>
          </w:p>
        </w:tc>
      </w:tr>
      <w:tr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Consejo Directivo</w:t>
            </w:r>
          </w:p>
        </w:tc>
        <w:tc>
          <w:tcPr>
            <w:tcW w:type="dxa" w:w="6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Aprobar o rechazar la AS y sus modificaciones; asignar los recursos aprobados; recibir los informes; emitir constancias; resolver los casos no previstos.</w:t>
            </w:r>
          </w:p>
        </w:tc>
      </w:tr>
      <w:tr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Responsable del Semillero</w:t>
            </w:r>
          </w:p>
        </w:tc>
        <w:tc>
          <w:tcPr>
            <w:tcW w:type="dxa" w:w="6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Liderar y coordinar las actividades; convocar y conducir las reuniones; llevar el registro de asistencia y avances; presentar los informes de avance y final; velar por la integridad científica del grupo; ser el enlace con SOPECIN.</w:t>
            </w:r>
          </w:p>
        </w:tc>
      </w:tr>
      <w:tr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Integrantes</w:t>
            </w:r>
          </w:p>
        </w:tc>
        <w:tc>
          <w:tcPr>
            <w:tcW w:type="dxa" w:w="6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Asistir a las reuniones y cumplir las tareas asignadas; aportar con honestidad y rigor; firmar el compromiso de integridad y propiedad intelectual (Anexo 04); reconocer la filiación a SOPECIN en los productos.</w:t>
            </w:r>
          </w:p>
        </w:tc>
      </w:tr>
      <w:tr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Asesor (opcional)</w:t>
            </w:r>
          </w:p>
        </w:tc>
        <w:tc>
          <w:tcPr>
            <w:tcW w:type="dxa" w:w="6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Orientar metodológicamente al semillero; revisar avances y productos; recomendar mejoras para su publicación o protección.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7. Ciclo de vida del semillero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726"/>
        <w:gridCol w:w="1500"/>
        <w:gridCol w:w="2100"/>
      </w:tblGrid>
      <w:tr>
        <w:trPr>
          <w:tblHeader/>
        </w:trPr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Etapa</w:t>
            </w:r>
          </w:p>
        </w:tc>
        <w:tc>
          <w:tcPr>
            <w:tcW w:type="dxa" w:w="3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Qué se hace</w:t>
            </w:r>
          </w:p>
        </w:tc>
        <w:tc>
          <w:tcPr>
            <w:tcW w:type="dxa" w:w="15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Documento</w:t>
            </w:r>
          </w:p>
        </w:tc>
        <w:tc>
          <w:tcPr>
            <w:tcW w:type="dxa" w:w="21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Plazo</w:t>
            </w:r>
          </w:p>
        </w:tc>
      </w:tr>
      <w:tr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1. Activación</w:t>
            </w:r>
          </w:p>
        </w:tc>
        <w:tc>
          <w:tcPr>
            <w:tcW w:type="dxa" w:w="3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El Responsable presenta la AS y el Consejo Directivo la evalúa y aprueba.</w:t>
            </w:r>
          </w:p>
        </w:tc>
        <w:tc>
          <w:tcPr>
            <w:tcW w:type="dxa" w:w="15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Anexo 01</w:t>
            </w:r>
          </w:p>
        </w:tc>
        <w:tc>
          <w:tcPr>
            <w:tcW w:type="dxa" w:w="21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Hasta 30 días calendario para la respuesta</w:t>
            </w:r>
          </w:p>
        </w:tc>
      </w:tr>
      <w:tr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2. Convocatoria</w:t>
            </w:r>
          </w:p>
        </w:tc>
        <w:tc>
          <w:tcPr>
            <w:tcW w:type="dxa" w:w="3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SOPECIN difunde la invitación; el Responsable acepta a los integrantes, que firman su compromiso.</w:t>
            </w:r>
          </w:p>
        </w:tc>
        <w:tc>
          <w:tcPr>
            <w:tcW w:type="dxa" w:w="15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Anexo 04</w:t>
            </w:r>
          </w:p>
        </w:tc>
        <w:tc>
          <w:tcPr>
            <w:tcW w:type="dxa" w:w="21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Primer mes</w:t>
            </w:r>
          </w:p>
        </w:tc>
      </w:tr>
      <w:tr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3. Ejecución</w:t>
            </w:r>
          </w:p>
        </w:tc>
        <w:tc>
          <w:tcPr>
            <w:tcW w:type="dxa" w:w="3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Reuniones según la periodicidad aprobada, con registro de asistencia y avances.</w:t>
            </w:r>
          </w:p>
        </w:tc>
        <w:tc>
          <w:tcPr>
            <w:tcW w:type="dxa" w:w="15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Anexo 05</w:t>
            </w:r>
          </w:p>
        </w:tc>
        <w:tc>
          <w:tcPr>
            <w:tcW w:type="dxa" w:w="21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Según la AS</w:t>
            </w:r>
          </w:p>
        </w:tc>
      </w:tr>
      <w:tr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4. Seguimiento</w:t>
            </w:r>
          </w:p>
        </w:tc>
        <w:tc>
          <w:tcPr>
            <w:tcW w:type="dxa" w:w="3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El Responsable informa avances, dificultades y ajustes.</w:t>
            </w:r>
          </w:p>
        </w:tc>
        <w:tc>
          <w:tcPr>
            <w:tcW w:type="dxa" w:w="15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Anexo 02</w:t>
            </w:r>
          </w:p>
        </w:tc>
        <w:tc>
          <w:tcPr>
            <w:tcW w:type="dxa" w:w="21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Cada seis meses</w:t>
            </w:r>
          </w:p>
        </w:tc>
      </w:tr>
      <w:tr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5. Cierre</w:t>
            </w:r>
          </w:p>
        </w:tc>
        <w:tc>
          <w:tcPr>
            <w:tcW w:type="dxa" w:w="3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 presentan los productos PIU logrados y el balance del semillero; SOPECIN emite constancias.</w:t>
            </w:r>
          </w:p>
        </w:tc>
        <w:tc>
          <w:tcPr>
            <w:tcW w:type="dxa" w:w="15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Anexo 03</w:t>
            </w:r>
          </w:p>
        </w:tc>
        <w:tc>
          <w:tcPr>
            <w:tcW w:type="dxa" w:w="21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Hasta 30 días después de concluir</w:t>
            </w:r>
          </w:p>
        </w:tc>
      </w:tr>
      <w:tr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6. Renovación</w:t>
            </w:r>
          </w:p>
        </w:tc>
        <w:tc>
          <w:tcPr>
            <w:tcW w:type="dxa" w:w="3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El semillero puede continuar con una nueva AS que parta de los resultados obtenidos.</w:t>
            </w:r>
          </w:p>
        </w:tc>
        <w:tc>
          <w:tcPr>
            <w:tcW w:type="dxa" w:w="15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Anexo 01</w:t>
            </w:r>
          </w:p>
        </w:tc>
        <w:tc>
          <w:tcPr>
            <w:tcW w:type="dxa" w:w="21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Al cierre</w:t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7.1 Modificaciones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Se debe dar cumplimiento a lo aprobado en la AS. Cualquier modificación deberá sustentarse con un documento dirigido al Consejo Directivo, que tendrá hasta treinta (30) días calendario para aceptarla o rechazarla. Con el sustento técnico respectivo, el Consejo Directivo puede disponer la finalización anticipada de las actividades del semillero.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7.2 Reuniones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Las reuniones pueden ser presenciales, virtuales o mixtas. En cada reunión se registra la asistencia y un breve resumen de los acuerdos y avances (Anexo 05). La asistencia mínima para recibir constancia de participación es del </w:t>
      </w:r>
      <w:r>
        <w:rPr>
          <w:rFonts w:ascii="Arial" w:cs="Arial" w:eastAsia="Arial" w:hAnsi="Arial"/>
          <w:b/>
          <w:bCs/>
        </w:rPr>
        <w:t xml:space="preserve">75 %</w:t>
      </w:r>
      <w:r>
        <w:rPr>
          <w:rFonts w:ascii="Arial" w:cs="Arial" w:eastAsia="Arial" w:hAnsi="Arial"/>
        </w:rPr>
        <w:t xml:space="preserve"> de las reuniones programadas.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8. Difusión y propiedad intelectual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Conforme a lo señalado en la AS, los resultados del semillero se publicarán en la revista científica </w:t>
      </w:r>
      <w:r>
        <w:rPr>
          <w:rFonts w:ascii="Arial" w:cs="Arial" w:eastAsia="Arial" w:hAnsi="Arial"/>
          <w:b/>
          <w:bCs/>
        </w:rPr>
        <w:t xml:space="preserve">Comprende+</w:t>
      </w:r>
      <w:r>
        <w:rPr>
          <w:rFonts w:ascii="Arial" w:cs="Arial" w:eastAsia="Arial" w:hAnsi="Arial"/>
        </w:rPr>
        <w:t xml:space="preserve"> de SOPECIN o se protegerán mediante propiedad intelectual (PI), según corresponda. Los resultados que alcancen la extensión y el rigor de una obra podrán postular al </w:t>
      </w:r>
      <w:r>
        <w:rPr>
          <w:rFonts w:ascii="Arial" w:cs="Arial" w:eastAsia="Arial" w:hAnsi="Arial"/>
          <w:b/>
          <w:bCs/>
        </w:rPr>
        <w:t xml:space="preserve">Sello Editorial SOPECIN</w:t>
      </w:r>
      <w:r>
        <w:rPr>
          <w:rFonts w:ascii="Arial" w:cs="Arial" w:eastAsia="Arial" w:hAnsi="Arial"/>
        </w:rPr>
        <w:t xml:space="preserve"> como libro o capítulo de libro, sujetos a su procedimiento de evaluación por pares ciegos.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Respecto de los resultados del semillero se establece lo siguiente: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Concepto</w:t>
            </w:r>
          </w:p>
        </w:tc>
        <w:tc>
          <w:tcPr>
            <w:tcW w:type="dxa" w:w="6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Disposición</w:t>
            </w:r>
          </w:p>
        </w:tc>
      </w:tr>
      <w:tr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Autoría</w:t>
            </w:r>
          </w:p>
        </w:tc>
        <w:tc>
          <w:tcPr>
            <w:tcW w:type="dxa" w:w="6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100 % de los integrantes del semillero que contribuyeron al producto.</w:t>
            </w:r>
          </w:p>
        </w:tc>
      </w:tr>
      <w:tr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Propiedad</w:t>
            </w:r>
          </w:p>
        </w:tc>
        <w:tc>
          <w:tcPr>
            <w:tcW w:type="dxa" w:w="6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100 % de SOPECIN.</w:t>
            </w:r>
          </w:p>
        </w:tc>
      </w:tr>
      <w:tr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Titularidad</w:t>
            </w:r>
          </w:p>
        </w:tc>
        <w:tc>
          <w:tcPr>
            <w:tcW w:type="dxa" w:w="6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Compartida entre los integrantes del semillero y SOPECIN.</w:t>
            </w:r>
          </w:p>
        </w:tc>
      </w:tr>
      <w:tr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Regalías</w:t>
            </w:r>
          </w:p>
        </w:tc>
        <w:tc>
          <w:tcPr>
            <w:tcW w:type="dxa" w:w="6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70 % para los integrantes del semillero, 20 % para SOPECIN y 10 % destinado a la difusión de la PI.</w:t>
            </w:r>
          </w:p>
        </w:tc>
      </w:tr>
      <w:tr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PI sin fines de lucro</w:t>
            </w:r>
          </w:p>
        </w:tc>
        <w:tc>
          <w:tcPr>
            <w:tcW w:type="dxa" w:w="6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 la PI no tiene como objetivo la recaudación monetaria, SOPECIN propondrá los canales para su difusión.</w:t>
            </w:r>
          </w:p>
        </w:tc>
      </w:tr>
    </w:tbl>
    <w:p>
      <w:pPr>
        <w:spacing w:after="120"/>
      </w:pP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El orden de autoría de cada producto se acuerda entre los integrantes según su contribución, siguiendo las buenas prácticas del Código Nacional de Integridad Científica. Los productos consignan la filiación a SOPECIN y la mención «Semillero Científico SOPECIN».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9. Integridad científica y ética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Todos los integrantes se comprometen a actuar conforme al Código Nacional de Integridad Científica y al principio rector del honor de SOPECIN. En particular: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Originalidad:</w:t>
      </w:r>
      <w:r>
        <w:rPr>
          <w:rFonts w:ascii="Arial" w:cs="Arial" w:eastAsia="Arial" w:hAnsi="Arial"/>
        </w:rPr>
        <w:t xml:space="preserve"> los productos se someten a revisión de similitud (antiplagio) antes de su envío a publicación.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Prácticas prohibidas:</w:t>
      </w:r>
      <w:r>
        <w:rPr>
          <w:rFonts w:ascii="Arial" w:cs="Arial" w:eastAsia="Arial" w:hAnsi="Arial"/>
        </w:rPr>
        <w:t xml:space="preserve"> se rechazan el plagio, la fabricación o falsificación de datos, la autoría ficticia y la compra o venta de autorías.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Inteligencia artificial:</w:t>
      </w:r>
      <w:r>
        <w:rPr>
          <w:rFonts w:ascii="Arial" w:cs="Arial" w:eastAsia="Arial" w:hAnsi="Arial"/>
        </w:rPr>
        <w:t xml:space="preserve"> su uso debe declararse indicando la herramienta y la finalidad. La IA no puede figurar como autora ni reemplazar el análisis de los integrantes.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Participantes humanos:</w:t>
      </w:r>
      <w:r>
        <w:rPr>
          <w:rFonts w:ascii="Arial" w:cs="Arial" w:eastAsia="Arial" w:hAnsi="Arial"/>
        </w:rPr>
        <w:t xml:space="preserve"> las investigaciones con personas cuentan con consentimiento informado y, cuando corresponda, con la aprobación de un comité de ética.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Datos personales:</w:t>
      </w:r>
      <w:r>
        <w:rPr>
          <w:rFonts w:ascii="Arial" w:cs="Arial" w:eastAsia="Arial" w:hAnsi="Arial"/>
        </w:rPr>
        <w:t xml:space="preserve"> se tratan conforme a la Ley N° 29733 y solo para los fines de la investigación.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Menores de edad:</w:t>
      </w:r>
      <w:r>
        <w:rPr>
          <w:rFonts w:ascii="Arial" w:cs="Arial" w:eastAsia="Arial" w:hAnsi="Arial"/>
        </w:rPr>
        <w:t xml:space="preserve"> su participación como integrantes requiere la autorización escrita de su padre, madre o tutor.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Conflictos de interés:</w:t>
      </w:r>
      <w:r>
        <w:rPr>
          <w:rFonts w:ascii="Arial" w:cs="Arial" w:eastAsia="Arial" w:hAnsi="Arial"/>
        </w:rPr>
        <w:t xml:space="preserve"> se declaran al inicio y cuando surjan.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Formación:</w:t>
      </w:r>
      <w:r>
        <w:rPr>
          <w:rFonts w:ascii="Arial" w:cs="Arial" w:eastAsia="Arial" w:hAnsi="Arial"/>
        </w:rPr>
        <w:t xml:space="preserve"> se recomienda que los integrantes aprueben el curso de Conducta Responsable en Investigación del CONCYTEC y mantengan actualizados sus perfiles en CTI Vitae y ORCID.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10. Recursos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El Responsable podrá solicitar a SOPECIN aportes económicos, humanos y materiales para facilitar las actividades del semillero, detallándolos en la AS. Su asignación está sujeta a la aprobación del Consejo Directivo y a la disponibilidad institucional. Los recursos asignados se usan exclusivamente para los fines aprobados y se rinden en el informe final.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11. Reconocimientos y constancias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Constancia de participación</w:t>
      </w:r>
      <w:r>
        <w:rPr>
          <w:rFonts w:ascii="Arial" w:cs="Arial" w:eastAsia="Arial" w:hAnsi="Arial"/>
        </w:rPr>
        <w:t xml:space="preserve"> para los integrantes que cumplan al menos el 75 % de asistencia y sus tareas asignadas.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Constancia de responsable</w:t>
      </w:r>
      <w:r>
        <w:rPr>
          <w:rFonts w:ascii="Arial" w:cs="Arial" w:eastAsia="Arial" w:hAnsi="Arial"/>
        </w:rPr>
        <w:t xml:space="preserve"> para quien lideró el semillero hasta su cierre.</w:t>
      </w:r>
    </w:p>
    <w:p>
      <w:pPr>
        <w:pStyle w:val="ListParagraph"/>
        <w:numPr>
          <w:ilvl w:val="0"/>
          <w:numId w:val="2"/>
        </w:numPr>
        <w:spacing w:after="60" w:line="288"/>
        <w:jc w:val="left"/>
      </w:pPr>
      <w:r>
        <w:rPr>
          <w:rFonts w:ascii="Arial" w:cs="Arial" w:eastAsia="Arial" w:hAnsi="Arial"/>
          <w:b/>
          <w:bCs/>
        </w:rPr>
        <w:t xml:space="preserve">Reconocimiento especial</w:t>
      </w:r>
      <w:r>
        <w:rPr>
          <w:rFonts w:ascii="Arial" w:cs="Arial" w:eastAsia="Arial" w:hAnsi="Arial"/>
        </w:rPr>
        <w:t xml:space="preserve"> a los semilleros cuyos productos sean publicados, protegidos o presentados en eventos científicos como el Encuentro Anual PIU.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Las constancias las emite SOPECIN tras la aprobación del informe final.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12. Indicadores de evaluación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3426"/>
      </w:tblGrid>
      <w:tr>
        <w:trPr>
          <w:tblHeader/>
        </w:trPr>
        <w:tc>
          <w:tcPr>
            <w:tcW w:type="dxa" w:w="5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Indicador</w:t>
            </w:r>
          </w:p>
        </w:tc>
        <w:tc>
          <w:tcPr>
            <w:tcW w:type="dxa" w:w="3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Meta referencial</w:t>
            </w:r>
          </w:p>
        </w:tc>
      </w:tr>
      <w:tr>
        <w:tc>
          <w:tcPr>
            <w:tcW w:type="dxa" w:w="5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Asistencia promedio a reuniones</w:t>
            </w:r>
          </w:p>
        </w:tc>
        <w:tc>
          <w:tcPr>
            <w:tcW w:type="dxa" w:w="3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≥ 75 %</w:t>
            </w:r>
          </w:p>
        </w:tc>
      </w:tr>
      <w:tr>
        <w:tc>
          <w:tcPr>
            <w:tcW w:type="dxa" w:w="5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Reuniones realizadas frente a programadas</w:t>
            </w:r>
          </w:p>
        </w:tc>
        <w:tc>
          <w:tcPr>
            <w:tcW w:type="dxa" w:w="3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≥ 90 %</w:t>
            </w:r>
          </w:p>
        </w:tc>
      </w:tr>
      <w:tr>
        <w:tc>
          <w:tcPr>
            <w:tcW w:type="dxa" w:w="5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Informes de avance presentados a tiempo</w:t>
            </w:r>
          </w:p>
        </w:tc>
        <w:tc>
          <w:tcPr>
            <w:tcW w:type="dxa" w:w="3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100 %</w:t>
            </w:r>
          </w:p>
        </w:tc>
      </w:tr>
      <w:tr>
        <w:tc>
          <w:tcPr>
            <w:tcW w:type="dxa" w:w="5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Productos PIU logrados frente a comprometidos en la AS</w:t>
            </w:r>
          </w:p>
        </w:tc>
        <w:tc>
          <w:tcPr>
            <w:tcW w:type="dxa" w:w="3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≥ 1 producto publicado, protegido o en evaluación</w:t>
            </w:r>
          </w:p>
        </w:tc>
      </w:tr>
      <w:tr>
        <w:tc>
          <w:tcPr>
            <w:tcW w:type="dxa" w:w="5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Integrantes que permanecen hasta el cierre</w:t>
            </w:r>
          </w:p>
        </w:tc>
        <w:tc>
          <w:tcPr>
            <w:tcW w:type="dxa" w:w="3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≥ 70 %</w:t>
            </w:r>
          </w:p>
        </w:tc>
      </w:tr>
      <w:tr>
        <w:tc>
          <w:tcPr>
            <w:tcW w:type="dxa" w:w="5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Integrantes con CTI Vitae y ORCID actualizados</w:t>
            </w:r>
          </w:p>
        </w:tc>
        <w:tc>
          <w:tcPr>
            <w:tcW w:type="dxa" w:w="3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100 %</w:t>
            </w:r>
          </w:p>
        </w:tc>
      </w:tr>
    </w:tbl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13. Sanciones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Los responsables y los integrantes de los semilleros se someten a lo establecido en el Estatuto de SOPECIN. Son causales de sanción, entre otras: el plagio, la fabricación o falsificación de datos, la apropiación indebida de autoría, el uso de recursos para fines no aprobados y el incumplimiento injustificado de las obligaciones asumidas. Según la gravedad, el Consejo Directivo podrá disponer la amonestación, el retiro del semillero, la finalización anticipada del semillero o las demás medidas previstas en el Estatuto.</w:t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14. Disposiciones finales</w:t>
      </w:r>
    </w:p>
    <w:p>
      <w:pPr>
        <w:pStyle w:val="ListParagraph"/>
        <w:numPr>
          <w:ilvl w:val="0"/>
          <w:numId w:val="4"/>
        </w:numPr>
        <w:spacing w:after="80" w:line="288"/>
        <w:jc w:val="both"/>
      </w:pPr>
      <w:r>
        <w:rPr>
          <w:rFonts w:ascii="Arial" w:cs="Arial" w:eastAsia="Arial" w:hAnsi="Arial"/>
        </w:rPr>
        <w:t xml:space="preserve">Los casos no previstos en el presente manual serán resueltos por el Consejo Directivo.</w:t>
      </w:r>
    </w:p>
    <w:p>
      <w:pPr>
        <w:pStyle w:val="ListParagraph"/>
        <w:numPr>
          <w:ilvl w:val="0"/>
          <w:numId w:val="4"/>
        </w:numPr>
        <w:spacing w:after="80" w:line="288"/>
        <w:jc w:val="both"/>
      </w:pPr>
      <w:r>
        <w:rPr>
          <w:rFonts w:ascii="Arial" w:cs="Arial" w:eastAsia="Arial" w:hAnsi="Arial"/>
        </w:rPr>
        <w:t xml:space="preserve">El presente manual entra en vigencia al día siguiente de su aprobación por el Consejo Directivo y deja sin efecto la versión anterior.</w:t>
      </w:r>
    </w:p>
    <w:p>
      <w:pPr>
        <w:pStyle w:val="ListParagraph"/>
        <w:numPr>
          <w:ilvl w:val="0"/>
          <w:numId w:val="4"/>
        </w:numPr>
        <w:spacing w:after="80" w:line="288"/>
        <w:jc w:val="both"/>
      </w:pPr>
      <w:r>
        <w:rPr>
          <w:rFonts w:ascii="Arial" w:cs="Arial" w:eastAsia="Arial" w:hAnsi="Arial"/>
        </w:rPr>
        <w:t xml:space="preserve">Los semilleros activados antes de la vigencia de esta versión se adecuarán a ella en su siguiente informe de avance.</w:t>
      </w:r>
    </w:p>
    <w:p>
      <w:r>
        <w:br w:type="page"/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Anexo 01. Activación del Semillero (AS)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9026"/>
            <w:gridSpan w:val="2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DF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1F2E4B"/>
                <w:sz w:val="19"/>
                <w:szCs w:val="19"/>
              </w:rPr>
              <w:t xml:space="preserve">ASOCIADO RESPONSABLE DEL SEMILLERO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Nombres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Apellidos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Tipo de asociado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Código de asociado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Correo electrónico institucional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ORCID / CTI Vitae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9026"/>
            <w:gridSpan w:val="2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DF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1F2E4B"/>
                <w:sz w:val="19"/>
                <w:szCs w:val="19"/>
              </w:rPr>
              <w:t xml:space="preserve">SEMILLERO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Denominación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Línea de investigación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Área OCDE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ODS vinculados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Objetivo general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Duración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9026"/>
            <w:gridSpan w:val="2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DF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1F2E4B"/>
                <w:sz w:val="19"/>
                <w:szCs w:val="19"/>
              </w:rPr>
              <w:t xml:space="preserve">INTEGRANTES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Perfil (grado académico)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Actividad u ocupación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Número previsto de integrantes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Mínimo 5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Formulario de invitación (enlace)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9026"/>
            <w:gridSpan w:val="2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DF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1F2E4B"/>
                <w:sz w:val="19"/>
                <w:szCs w:val="19"/>
              </w:rPr>
              <w:t xml:space="preserve">REUNIONES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Temario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Periodicidad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Modalidad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Presencial / virtual / mixta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Cantidad de reuniones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Opcional (eventos, visitas, etc.)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9026"/>
            <w:gridSpan w:val="2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DF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1F2E4B"/>
                <w:sz w:val="19"/>
                <w:szCs w:val="19"/>
              </w:rPr>
              <w:t xml:space="preserve">ENTREGABLES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Nivel de PIU esperado (TRL / CRL / ODS / OCDE)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Productos PIU comprometidos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Canal de difusión o protección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Comprende+ / Sello Editorial / INDECOPI / evento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9026"/>
            <w:gridSpan w:val="2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DF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1F2E4B"/>
                <w:sz w:val="19"/>
                <w:szCs w:val="19"/>
              </w:rPr>
              <w:t xml:space="preserve">REQUERIMIENTOS A SOPECIN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Materiales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Humanos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Económicos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</w:tbl>
    <w:p>
      <w:pPr>
        <w:spacing w:after="120"/>
      </w:pPr>
    </w:p>
    <w:p>
      <w:pPr>
        <w:spacing w:after="120" w:line="300"/>
        <w:jc w:val="left"/>
      </w:pPr>
      <w:r>
        <w:rPr>
          <w:rFonts w:ascii="Arial" w:cs="Arial" w:eastAsia="Arial" w:hAnsi="Arial"/>
        </w:rPr>
        <w:t xml:space="preserve">Firma del Responsable: ______________________________          Fecha: ____ / ____ / ______</w:t>
      </w:r>
    </w:p>
    <w:p>
      <w:r>
        <w:br w:type="page"/>
      </w:r>
    </w:p>
    <w:p>
      <w:pPr>
        <w:pStyle w:val="Heading2"/>
        <w:spacing w:after="120" w:before="240"/>
      </w:pPr>
      <w:r>
        <w:rPr>
          <w:rFonts w:ascii="Arial" w:cs="Arial" w:eastAsia="Arial" w:hAnsi="Arial"/>
        </w:rPr>
        <w:t xml:space="preserve">Ejemplo de Activación del Semillero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9026"/>
            <w:gridSpan w:val="2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DF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1F2E4B"/>
                <w:sz w:val="19"/>
                <w:szCs w:val="19"/>
              </w:rPr>
              <w:t xml:space="preserve">ASOCIADO RESPONSABLE DEL SEMILLERO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Nombres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[Nombres del asociado]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Apellidos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[Apellidos del asociado]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Tipo de asociado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Fundador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Código de asociado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N° [000]-[año]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Correo electrónico institucional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[usuario]@sopecin.org.pe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9026"/>
            <w:gridSpan w:val="2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DF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1F2E4B"/>
                <w:sz w:val="19"/>
                <w:szCs w:val="19"/>
              </w:rPr>
              <w:t xml:space="preserve">SEMILLERO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Denominación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Semillero Científico de Investigación – SOPECIN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Objetivo general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Capacitar y difundir la Metodología de Investigación de PIU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Duración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 meses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9026"/>
            <w:gridSpan w:val="2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DF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1F2E4B"/>
                <w:sz w:val="19"/>
                <w:szCs w:val="19"/>
              </w:rPr>
              <w:t xml:space="preserve">INTEGRANTES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Perfil (grado académico)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Estudiantes de nivel superior, profesionales, maestros, doctores y PhD relacionados con I+D+i+e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Actividad u ocupación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Estudiantes, educadores e integrantes de la comunidad educativa nacional e internacional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Formulario de invitación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https://docs.google.com/forms/d/e/1FAIpQLSfbEqMs6wDQ_Zxkw9Dv6hZMp7UGnAV_d9dpVWc2HgzeB5NPlA/viewform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9026"/>
            <w:gridSpan w:val="2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DF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1F2E4B"/>
                <w:sz w:val="19"/>
                <w:szCs w:val="19"/>
              </w:rPr>
              <w:t xml:space="preserve">REUNIONES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Temario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Problemática</w:t>
            </w:r>
          </w:p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Marco teórico</w:t>
            </w:r>
          </w:p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Estado del arte</w:t>
            </w:r>
          </w:p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Revisión sistemática</w:t>
            </w:r>
          </w:p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Metodología PIU</w:t>
            </w:r>
          </w:p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Uso de la plataforma OC TAC</w:t>
            </w:r>
          </w:p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Estadística</w:t>
            </w:r>
          </w:p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Difusión</w:t>
            </w:r>
          </w:p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Publicación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Periodicidad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Quincenal; fechas y horarios por coordinación interna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Modalidad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Presencial y virtual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Cantidad de reuniones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 al año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Opcional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Participación en un evento científico para discutir resultados intermedios o finales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9026"/>
            <w:gridSpan w:val="2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DF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1F2E4B"/>
                <w:sz w:val="19"/>
                <w:szCs w:val="19"/>
              </w:rPr>
              <w:t xml:space="preserve">ENTREGABLES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Nivel de PIU esperado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TRL 5 · CRL 5 · ODS: todos · OCDE: todas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Productos PIU comprometidos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Tesis, artículos originales y propiedad intelectual</w:t>
            </w: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9026"/>
            <w:gridSpan w:val="2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DF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1F2E4B"/>
                <w:sz w:val="19"/>
                <w:szCs w:val="19"/>
              </w:rPr>
              <w:t xml:space="preserve">REQUERIMIENTOS A SOPECIN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Materiales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Difusión de la AS en redes</w:t>
            </w:r>
          </w:p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Acceso a la plataforma Drive de SOPECIN</w:t>
            </w:r>
          </w:p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Acceso a la plataforma Meet de SOPECIN (hasta 500 participantes)</w:t>
            </w:r>
          </w:p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Publicación en Comprende+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Humanos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Apoyo en recordatorio de reuniones</w:t>
            </w:r>
          </w:p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Apoyo en registro de avances</w:t>
            </w:r>
          </w:p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Apoyo en revisión y escritura de artículos</w:t>
            </w:r>
          </w:p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Apoyo en revisión y escritura para PI</w:t>
            </w:r>
          </w:p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Traducción al inglés del documento final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Económicos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S/ 50.00 por mes (servicios)</w:t>
            </w:r>
          </w:p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S/ 10.00 por mes (difusión en Facebook y YouTube)</w:t>
            </w:r>
          </w:p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S/ 4,000.00 para PI (opcional)</w:t>
            </w:r>
          </w:p>
        </w:tc>
      </w:tr>
    </w:tbl>
    <w:p>
      <w:r>
        <w:br w:type="page"/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Anexo 02. Informe de avance semestral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9026"/>
            <w:gridSpan w:val="2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DF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1F2E4B"/>
                <w:sz w:val="19"/>
                <w:szCs w:val="19"/>
              </w:rPr>
              <w:t xml:space="preserve">DATOS GENERALES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Semillero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Responsable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Periodo informado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Del ____ / ____ / ______ al ____ / ____ / ______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Reuniones programadas / realizadas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Asistencia promedio (%)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Integrantes activos / retirados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9026"/>
            <w:gridSpan w:val="2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DF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1F2E4B"/>
                <w:sz w:val="19"/>
                <w:szCs w:val="19"/>
              </w:rPr>
              <w:t xml:space="preserve">AVANCES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Avances logrados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Productos PIU en curso y su estado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Dificultades encontradas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Ajustes propuestos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Uso de recursos asignados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</w:tbl>
    <w:p>
      <w:pPr>
        <w:spacing w:after="120"/>
      </w:pPr>
    </w:p>
    <w:p>
      <w:pPr>
        <w:spacing w:after="120" w:line="300"/>
        <w:jc w:val="left"/>
      </w:pPr>
      <w:r>
        <w:rPr>
          <w:rFonts w:ascii="Arial" w:cs="Arial" w:eastAsia="Arial" w:hAnsi="Arial"/>
        </w:rPr>
        <w:t xml:space="preserve">Firma del Responsable: ______________________________          Fecha: ____ / ____ / ______</w:t>
      </w:r>
    </w:p>
    <w:p>
      <w:r>
        <w:br w:type="page"/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Anexo 03. Informe final y cierre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9026"/>
            <w:gridSpan w:val="2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DF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1F2E4B"/>
                <w:sz w:val="19"/>
                <w:szCs w:val="19"/>
              </w:rPr>
              <w:t xml:space="preserve">DATOS GENERALES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Semillero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Responsable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Fecha de activación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Fecha de cierre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Reuniones realizadas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Asistencia promedio (%)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700"/>
        <w:gridCol w:w="2626"/>
        <w:gridCol w:w="1900"/>
      </w:tblGrid>
      <w:tr>
        <w:trPr>
          <w:tblHeader/>
        </w:trPr>
        <w:tc>
          <w:tcPr>
            <w:tcW w:type="dxa" w:w="28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Producto PIU</w:t>
            </w:r>
          </w:p>
        </w:tc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Tipo</w:t>
            </w:r>
          </w:p>
        </w:tc>
        <w:tc>
          <w:tcPr>
            <w:tcW w:type="dxa" w:w="26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Estado (publicado / en evaluación / protegido)</w:t>
            </w:r>
          </w:p>
        </w:tc>
        <w:tc>
          <w:tcPr>
            <w:tcW w:type="dxa" w:w="1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Enlace o código</w:t>
            </w:r>
          </w:p>
        </w:tc>
      </w:tr>
      <w:tr>
        <w:tc>
          <w:tcPr>
            <w:tcW w:type="dxa" w:w="28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6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1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28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6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1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28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6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19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26"/>
        <w:gridCol w:w="2000"/>
        <w:gridCol w:w="2600"/>
      </w:tblGrid>
      <w:tr>
        <w:trPr>
          <w:tblHeader/>
        </w:trPr>
        <w:tc>
          <w:tcPr>
            <w:tcW w:type="dxa" w:w="4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Integrante</w:t>
            </w:r>
          </w:p>
        </w:tc>
        <w:tc>
          <w:tcPr>
            <w:tcW w:type="dxa" w:w="20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Asistencia (%)</w:t>
            </w:r>
          </w:p>
        </w:tc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¿Recibe constancia? (Sí/No)</w:t>
            </w:r>
          </w:p>
        </w:tc>
      </w:tr>
      <w:tr>
        <w:tc>
          <w:tcPr>
            <w:tcW w:type="dxa" w:w="4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0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4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0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4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0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4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0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44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0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6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9026"/>
            <w:gridSpan w:val="2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DF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1F2E4B"/>
                <w:sz w:val="19"/>
                <w:szCs w:val="19"/>
              </w:rPr>
              <w:t xml:space="preserve">BALANCE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Logros principales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Lecciones aprendidas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Rendición de recursos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¿Se propone renovación? (Sí/No)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</w:tbl>
    <w:p>
      <w:pPr>
        <w:spacing w:after="120"/>
      </w:pPr>
    </w:p>
    <w:p>
      <w:pPr>
        <w:spacing w:after="120" w:line="300"/>
        <w:jc w:val="left"/>
      </w:pPr>
      <w:r>
        <w:rPr>
          <w:rFonts w:ascii="Arial" w:cs="Arial" w:eastAsia="Arial" w:hAnsi="Arial"/>
        </w:rPr>
        <w:t xml:space="preserve">Firma del Responsable: ______________________________          Fecha: ____ / ____ / ______</w:t>
      </w:r>
    </w:p>
    <w:p>
      <w:r>
        <w:br w:type="page"/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Anexo 04. Compromiso de integridad y propiedad intelectual</w:t>
      </w:r>
    </w:p>
    <w:p>
      <w:pPr>
        <w:spacing w:after="120" w:line="300"/>
        <w:jc w:val="both"/>
      </w:pPr>
      <w:r>
        <w:rPr>
          <w:rFonts w:ascii="Arial" w:cs="Arial" w:eastAsia="Arial" w:hAnsi="Arial"/>
        </w:rPr>
        <w:t xml:space="preserve">Yo, ______________________________________, identificado(a) con DNI N° ______________, integrante del semillero «__________________________________», declaro que:</w:t>
      </w:r>
    </w:p>
    <w:p>
      <w:pPr>
        <w:pStyle w:val="ListParagraph"/>
        <w:numPr>
          <w:ilvl w:val="0"/>
          <w:numId w:val="5"/>
        </w:numPr>
        <w:spacing w:after="80" w:line="288"/>
        <w:jc w:val="both"/>
      </w:pPr>
      <w:r>
        <w:rPr>
          <w:rFonts w:ascii="Arial" w:cs="Arial" w:eastAsia="Arial" w:hAnsi="Arial"/>
        </w:rPr>
        <w:t xml:space="preserve">Conozco y acepto el Manual de Semilleros Científicos SOPECIN.</w:t>
      </w:r>
    </w:p>
    <w:p>
      <w:pPr>
        <w:pStyle w:val="ListParagraph"/>
        <w:numPr>
          <w:ilvl w:val="0"/>
          <w:numId w:val="5"/>
        </w:numPr>
        <w:spacing w:after="80" w:line="288"/>
        <w:jc w:val="both"/>
      </w:pPr>
      <w:r>
        <w:rPr>
          <w:rFonts w:ascii="Arial" w:cs="Arial" w:eastAsia="Arial" w:hAnsi="Arial"/>
        </w:rPr>
        <w:t xml:space="preserve">Actuaré conforme al Código Nacional de Integridad Científica: no incurriré en plagio, fabricación o falsificación de datos ni en apropiación indebida de autoría.</w:t>
      </w:r>
    </w:p>
    <w:p>
      <w:pPr>
        <w:pStyle w:val="ListParagraph"/>
        <w:numPr>
          <w:ilvl w:val="0"/>
          <w:numId w:val="5"/>
        </w:numPr>
        <w:spacing w:after="80" w:line="288"/>
        <w:jc w:val="both"/>
      </w:pPr>
      <w:r>
        <w:rPr>
          <w:rFonts w:ascii="Arial" w:cs="Arial" w:eastAsia="Arial" w:hAnsi="Arial"/>
        </w:rPr>
        <w:t xml:space="preserve">Declararé el uso de herramientas de inteligencia artificial y cualquier conflicto de interés.</w:t>
      </w:r>
    </w:p>
    <w:p>
      <w:pPr>
        <w:pStyle w:val="ListParagraph"/>
        <w:numPr>
          <w:ilvl w:val="0"/>
          <w:numId w:val="5"/>
        </w:numPr>
        <w:spacing w:after="80" w:line="288"/>
        <w:jc w:val="both"/>
      </w:pPr>
      <w:r>
        <w:rPr>
          <w:rFonts w:ascii="Arial" w:cs="Arial" w:eastAsia="Arial" w:hAnsi="Arial"/>
        </w:rPr>
        <w:t xml:space="preserve">Acepto las disposiciones de autoría, propiedad, titularidad y regalías establecidas en la sección 8 del manual.</w:t>
      </w:r>
    </w:p>
    <w:p>
      <w:pPr>
        <w:pStyle w:val="ListParagraph"/>
        <w:numPr>
          <w:ilvl w:val="0"/>
          <w:numId w:val="5"/>
        </w:numPr>
        <w:spacing w:after="80" w:line="288"/>
        <w:jc w:val="both"/>
      </w:pPr>
      <w:r>
        <w:rPr>
          <w:rFonts w:ascii="Arial" w:cs="Arial" w:eastAsia="Arial" w:hAnsi="Arial"/>
        </w:rPr>
        <w:t xml:space="preserve">Consignaré la filiación a SOPECIN en los productos derivados del semillero.</w:t>
      </w:r>
    </w:p>
    <w:p>
      <w:pPr>
        <w:pStyle w:val="ListParagraph"/>
        <w:numPr>
          <w:ilvl w:val="0"/>
          <w:numId w:val="5"/>
        </w:numPr>
        <w:spacing w:after="80" w:line="288"/>
        <w:jc w:val="both"/>
      </w:pPr>
      <w:r>
        <w:rPr>
          <w:rFonts w:ascii="Arial" w:cs="Arial" w:eastAsia="Arial" w:hAnsi="Arial"/>
        </w:rPr>
        <w:t xml:space="preserve">Autorizo el tratamiento de mis datos personales para los fines del semillero, conforme a la Ley N° 29733.</w:t>
      </w:r>
    </w:p>
    <w:p>
      <w:pPr>
        <w:spacing w:after="120"/>
      </w:pPr>
    </w:p>
    <w:p>
      <w:pPr>
        <w:spacing w:after="120" w:line="300"/>
        <w:jc w:val="left"/>
      </w:pPr>
      <w:r>
        <w:rPr>
          <w:rFonts w:ascii="Arial" w:cs="Arial" w:eastAsia="Arial" w:hAnsi="Arial"/>
        </w:rPr>
        <w:t xml:space="preserve">Firma: ______________________________          Fecha: ____ / ____ / ______</w:t>
      </w:r>
    </w:p>
    <w:p>
      <w:pPr>
        <w:spacing w:after="120" w:line="300"/>
        <w:jc w:val="left"/>
      </w:pPr>
      <w:r>
        <w:rPr>
          <w:rFonts w:ascii="Arial" w:cs="Arial" w:eastAsia="Arial" w:hAnsi="Arial"/>
        </w:rPr>
        <w:t xml:space="preserve">En caso de menor de edad, firma del padre, madre o tutor: ______________________________          DNI: ______________</w:t>
      </w:r>
    </w:p>
    <w:p>
      <w:r>
        <w:br w:type="page"/>
      </w:r>
    </w:p>
    <w:p>
      <w:pPr>
        <w:pStyle w:val="Heading1"/>
        <w:spacing w:after="160" w:before="360"/>
      </w:pPr>
      <w:r>
        <w:rPr>
          <w:rFonts w:ascii="Arial" w:cs="Arial" w:eastAsia="Arial" w:hAnsi="Arial"/>
        </w:rPr>
        <w:t xml:space="preserve">Anexo 05. Registro de asistencia y acuerdos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9026"/>
            <w:gridSpan w:val="2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DF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1F2E4B"/>
                <w:sz w:val="19"/>
                <w:szCs w:val="19"/>
              </w:rPr>
              <w:t xml:space="preserve">DATOS DE LA REUNIÓN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Semillero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Reunión N°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Fecha y hora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Modalidad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126"/>
        <w:gridCol w:w="1700"/>
        <w:gridCol w:w="2500"/>
      </w:tblGrid>
      <w:tr>
        <w:trPr>
          <w:tblHeader/>
        </w:trPr>
        <w:tc>
          <w:tcPr>
            <w:tcW w:type="dxa" w:w="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N°</w:t>
            </w:r>
          </w:p>
        </w:tc>
        <w:tc>
          <w:tcPr>
            <w:tcW w:type="dxa" w:w="4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Nombres y apellidos</w:t>
            </w:r>
          </w:p>
        </w:tc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Asistió (Sí/No)</w:t>
            </w:r>
          </w:p>
        </w:tc>
        <w:tc>
          <w:tcPr>
            <w:tcW w:type="dxa" w:w="25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1F2E4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Firma o confirmación</w:t>
            </w:r>
          </w:p>
        </w:tc>
      </w:tr>
      <w:tr>
        <w:tc>
          <w:tcPr>
            <w:tcW w:type="dxa" w:w="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4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5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4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5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4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5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4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5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4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5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4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5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4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5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41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17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  <w:tc>
          <w:tcPr>
            <w:tcW w:type="dxa" w:w="25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F4F8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</w:tbl>
    <w:p>
      <w:pPr>
        <w:spacing w:after="12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726"/>
      </w:tblGrid>
      <w:tr>
        <w:tc>
          <w:tcPr>
            <w:tcW w:type="dxa" w:w="9026"/>
            <w:gridSpan w:val="2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shd w:fill="DFF3E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color w:val="1F2E4B"/>
                <w:sz w:val="19"/>
                <w:szCs w:val="19"/>
              </w:rPr>
              <w:t xml:space="preserve">RESUMEN</w:t>
            </w: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Temas tratados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Acuerdos y tareas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  <w:tr>
        <w:tc>
          <w:tcPr>
            <w:tcW w:type="dxa" w:w="3300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Próxima reunión</w:t>
            </w:r>
          </w:p>
        </w:tc>
        <w:tc>
          <w:tcPr>
            <w:tcW w:type="dxa" w:w="5726"/>
            <w:tcBorders>
              <w:top w:val="single" w:color="B9C9C6" w:sz="4"/>
              <w:left w:val="single" w:color="B9C9C6" w:sz="4"/>
              <w:bottom w:val="single" w:color="B9C9C6" w:sz="4"/>
              <w:right w:val="single" w:color="B9C9C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/>
              <w:jc w:val="left"/>
            </w:pPr>
          </w:p>
        </w:tc>
      </w:tr>
    </w:tbl>
    <w:sectPr>
      <w:headerReference w:type="default" r:id="rId6"/>
      <w:footerReference w:type="default" r:id="rId7"/>
      <w:pgSz w:w="11906" w:h="16838" w:orient="portrait"/>
      <w:pgMar w:top="1700" w:right="1440" w:bottom="1500" w:left="1440" w:header="56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9AE9D" w:sz="12" w:space="6"/>
      </w:pBdr>
      <w:tabs>
        <w:tab w:val="right" w:pos="9026"/>
      </w:tabs>
    </w:pPr>
    <w:r>
      <w:drawing>
        <wp:anchor distT="0" distB="0" distL="0" distR="0" simplePos="0" allowOverlap="1" behindDoc="1" locked="0" layoutInCell="1" relativeHeight="1428750">
          <wp:simplePos x="0" y="0"/>
          <wp:positionH relativeFrom="page">
            <wp:posOffset>6050000</wp:posOffset>
          </wp:positionH>
          <wp:positionV relativeFrom="page">
            <wp:posOffset>9550000</wp:posOffset>
          </wp:positionV>
          <wp:extent cx="1428750" cy="1428750"/>
          <wp:effectExtent t="0" r="0" b="0" l="0"/>
          <wp:wrapNone/>
          <wp:docPr id="2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1428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4B5870"/>
        <w:sz w:val="15"/>
        <w:szCs w:val="15"/>
      </w:rPr>
      <w:t xml:space="preserve">Sociedad Peruana de Ciencia e Innovación – SOPECIN · Arequipa, Perú · sopecin.org.pe · contacto@sopecin.org.pe</w:t>
    </w:r>
    <w:r>
      <w:rPr>
        <w:rFonts w:ascii="Arial" w:cs="Arial" w:eastAsia="Arial" w:hAnsi="Arial"/>
        <w:color w:val="4B5870"/>
        <w:sz w:val="15"/>
        <w:szCs w:val="15"/>
      </w:rPr>
      <w:t xml:space="preserve">	Pág.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9AE9D" w:sz="6" w:space="6"/>
      </w:pBdr>
      <w:tabs>
        <w:tab w:val="right" w:pos="9026"/>
      </w:tabs>
      <w:spacing w:after="0"/>
    </w:pPr>
    <w:r>
      <w:drawing>
        <wp:inline distT="0" distB="0" distL="0" distR="0">
          <wp:extent cx="1428750" cy="523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4B5870"/>
        <w:sz w:val="16"/>
        <w:szCs w:val="16"/>
      </w:rPr>
      <w:t xml:space="preserve">	Manual de Semilleros Científicos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  <w:rPr>
        <w:color w:val="29AE9D"/>
      </w:rPr>
    </w:lvl>
    <w:lvl w:ilvl="1" w:tentative="1">
      <w:start w:val="1"/>
      <w:numFmt w:val="bullet"/>
      <w:lvlText w:val="–"/>
      <w:lvlJc w:val="left"/>
      <w:pPr>
        <w:ind w:left="1080" w:hanging="270"/>
      </w:pPr>
    </w:lvl>
  </w:abstractNum>
  <w:abstractNum w:abstractNumId="3" w15:restartNumberingAfterBreak="0">
    <w:multiLevelType w:val="hybridMultilevel"/>
    <w:lvl w:ilvl="0" w:tentative="1">
      <w:start w:val="1"/>
      <w:numFmt w:val="upperLetter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A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60"/>
      <w:outlineLvl w:val="0"/>
    </w:pPr>
    <w:rPr>
      <w:rFonts w:ascii="Arial" w:cs="Arial" w:eastAsia="Arial" w:hAnsi="Arial"/>
      <w:b/>
      <w:bCs/>
      <w:color w:val="1F2E4B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40"/>
      <w:outlineLvl w:val="1"/>
    </w:pPr>
    <w:rPr>
      <w:rFonts w:ascii="Arial" w:cs="Arial" w:eastAsia="Arial" w:hAnsi="Arial"/>
      <w:b/>
      <w:bCs/>
      <w:color w:val="1E8578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80" w:before="180"/>
      <w:outlineLvl w:val="2"/>
    </w:pPr>
    <w:rPr>
      <w:rFonts w:ascii="Arial" w:cs="Arial" w:eastAsia="Arial" w:hAnsi="Arial"/>
      <w:b/>
      <w:bCs/>
      <w:color w:val="1F2E4B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35ee5e4cf9afe1ae691ee4348389cdab4b8c3bb1.png"/><Relationship Id="rId10" Type="http://schemas.openxmlformats.org/officeDocument/2006/relationships/image" Target="media/f52e01bb58bd42de0f0d9038c40fdf8072a2e65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8f810bec66cdfe74a9318199437a6546851cf1d6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9de0bc7a100c5532e9241c22a85c76bdd9f499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Semilleros Científicos SOPECIN</dc:title>
  <dc:creator>SOPECIN</dc:creator>
  <dc:description>Versión 2.0</dc:description>
  <cp:lastModifiedBy>Un-named</cp:lastModifiedBy>
  <cp:revision>1</cp:revision>
  <dcterms:created xsi:type="dcterms:W3CDTF">2026-10-21T00:53:58.756Z</dcterms:created>
  <dcterms:modified xsi:type="dcterms:W3CDTF">2026-10-21T00:53:58.756Z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