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/>
      </w:pPr>
    </w:p>
    <w:p>
      <w:pPr>
        <w:jc w:val="center"/>
      </w:pPr>
      <w:r>
        <w:drawing>
          <wp:inline distT="0" distB="0" distL="0" distR="0">
            <wp:extent cx="2857500" cy="1047750"/>
            <wp:effectExtent t="0" r="0" b="0" l="0"/>
            <wp:docPr id="1" name="logo" descr="Logotipo de SOPECIN" title="SOPEC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600"/>
        <w:jc w:val="center"/>
      </w:pPr>
      <w:r>
        <w:rPr>
          <w:rFonts w:ascii="Arial" w:cs="Arial" w:eastAsia="Arial" w:hAnsi="Arial"/>
          <w:b/>
          <w:bCs/>
          <w:color w:val="0F7B6C"/>
          <w:sz w:val="32"/>
          <w:szCs w:val="32"/>
        </w:rPr>
        <w:t xml:space="preserve">MANUAL DE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color w:val="1F2D4A"/>
          <w:sz w:val="48"/>
          <w:szCs w:val="48"/>
        </w:rPr>
        <w:t xml:space="preserve">CÍRCULOS CIENTÍFICOS</w:t>
      </w:r>
    </w:p>
    <w:p>
      <w:pPr>
        <w:spacing w:after="80"/>
        <w:jc w:val="center"/>
      </w:pPr>
      <w:r>
        <w:rPr>
          <w:rFonts w:ascii="Arial" w:cs="Arial" w:eastAsia="Arial" w:hAnsi="Arial"/>
          <w:color w:val="5B6670"/>
          <w:sz w:val="24"/>
          <w:szCs w:val="24"/>
        </w:rPr>
        <w:t xml:space="preserve">Sociedad Peruana de Ciencia e Innovación</w:t>
      </w:r>
    </w:p>
    <w:p>
      <w:pPr>
        <w:spacing w:after="80"/>
        <w:jc w:val="center"/>
      </w:pPr>
      <w:r>
        <w:rPr>
          <w:rFonts w:ascii="Arial" w:cs="Arial" w:eastAsia="Arial" w:hAnsi="Arial"/>
          <w:color w:val="5B6670"/>
          <w:sz w:val="22"/>
          <w:szCs w:val="22"/>
        </w:rPr>
        <w:t xml:space="preserve">Versión 1</w:t>
      </w:r>
    </w:p>
    <w:p>
      <w:pPr>
        <w:jc w:val="center"/>
      </w:pPr>
      <w:r>
        <w:rPr>
          <w:rFonts w:ascii="Arial" w:cs="Arial" w:eastAsia="Arial" w:hAnsi="Arial"/>
          <w:color w:val="5B6670"/>
          <w:sz w:val="22"/>
          <w:szCs w:val="22"/>
        </w:rPr>
        <w:t xml:space="preserve">Arequipa, 15 de mayo de 2025</w:t>
      </w:r>
    </w:p>
    <w:p>
      <w:r>
        <w:br w:type="page"/>
      </w:r>
    </w:p>
    <w:p>
      <w:pPr>
        <w:spacing w:after="200"/>
      </w:pPr>
      <w:r>
        <w:rPr>
          <w:rFonts w:ascii="Arial" w:cs="Arial" w:eastAsia="Arial" w:hAnsi="Arial"/>
          <w:b/>
          <w:bCs/>
          <w:color w:val="1F2D4A"/>
          <w:sz w:val="26"/>
          <w:szCs w:val="26"/>
        </w:rPr>
        <w:t xml:space="preserve">CONTENIDO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1. Presentación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2. Objetivos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3. Alcance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4. Documentos base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5. Definiciones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6. Organización del círculo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7. Activación y funcionamiento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8. Difusión de resultados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9. Recursos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10. Integridad científica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11. Sanciones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12. Disposiciones finales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Anexo 01. Activación del Círculo (AC)</w:t>
      </w:r>
    </w:p>
    <w:p>
      <w:pPr>
        <w:pBdr>
          <w:bottom w:val="single" w:color="DDE3E1" w:sz="2" w:space="4"/>
        </w:pBdr>
        <w:spacing w:after="100"/>
      </w:pPr>
      <w:r>
        <w:rPr>
          <w:rFonts w:ascii="Arial" w:cs="Arial" w:eastAsia="Arial" w:hAnsi="Arial"/>
          <w:sz w:val="22"/>
          <w:szCs w:val="22"/>
        </w:rPr>
        <w:t xml:space="preserve">Anexo 02. Ejemplo de Activación del Círculo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1. Presentación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La Sociedad Peruana de Ciencia e Innovación (SOPECIN) promueve la investigación, el desarrollo, la innovación y el emprendimiento (I+D+i+e) a través de espacios de trabajo colaborativo. Los círculos científicos son uno de esos espacios: reúnen a personas que comparten conocimiento o interés en un tema, lo analizan de forma periódica y convierten sus conclusiones en Producción Intelectual Universitaria (PIU) publicada.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Este manual establece qué es un círculo científico, quiénes pueden integrarlo, cómo se activa, cómo funciona, cómo se difunden sus resultados y qué recursos puede recibir de SOPECIN.</w:t>
      </w:r>
    </w:p>
    <w:p>
      <w:pPr>
        <w:pStyle w:val="Heading1"/>
      </w:pPr>
      <w:r>
        <w:rPr>
          <w:rFonts w:ascii="Arial" w:cs="Arial" w:eastAsia="Arial" w:hAnsi="Arial"/>
        </w:rPr>
        <w:t xml:space="preserve">2. Objetivos</w:t>
      </w:r>
    </w:p>
    <w:p>
      <w:pPr>
        <w:pStyle w:val="Heading2"/>
      </w:pPr>
      <w:r>
        <w:rPr>
          <w:rFonts w:ascii="Arial" w:cs="Arial" w:eastAsia="Arial" w:hAnsi="Arial"/>
        </w:rPr>
        <w:t xml:space="preserve">2.1 Objetivo general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Fomentar la investigación, la promoción y la divulgación de los resultados de investigación, innovación y tecnología en una de las seis áreas de conocimiento de la OCDE.</w:t>
      </w:r>
    </w:p>
    <w:p>
      <w:pPr>
        <w:pStyle w:val="Heading2"/>
      </w:pPr>
      <w:r>
        <w:rPr>
          <w:rFonts w:ascii="Arial" w:cs="Arial" w:eastAsia="Arial" w:hAnsi="Arial"/>
        </w:rPr>
        <w:t xml:space="preserve">2.2 Objetivos específicos</w:t>
      </w:r>
    </w:p>
    <w:p>
      <w:pPr>
        <w:pStyle w:val="ListParagraph"/>
        <w:numPr>
          <w:ilvl w:val="0"/>
          <w:numId w:val="2"/>
        </w:numPr>
        <w:spacing w:after="80" w:line="264"/>
        <w:jc w:val="both"/>
      </w:pPr>
      <w:r>
        <w:rPr>
          <w:rFonts w:ascii="Arial" w:cs="Arial" w:eastAsia="Arial" w:hAnsi="Arial"/>
        </w:rPr>
        <w:t xml:space="preserve">Reunir a personas con conocimiento o interés común en un tema para analizarlo de forma organizada y periódica.</w:t>
      </w:r>
    </w:p>
    <w:p>
      <w:pPr>
        <w:pStyle w:val="ListParagraph"/>
        <w:numPr>
          <w:ilvl w:val="0"/>
          <w:numId w:val="2"/>
        </w:numPr>
        <w:spacing w:after="80" w:line="264"/>
        <w:jc w:val="both"/>
      </w:pPr>
      <w:r>
        <w:rPr>
          <w:rFonts w:ascii="Arial" w:cs="Arial" w:eastAsia="Arial" w:hAnsi="Arial"/>
        </w:rPr>
        <w:t xml:space="preserve">Convertir las conclusiones de cada círculo en productos PIU verificables, con nivel de madurez TRL y CRL, área OCDE y ODS identificados.</w:t>
      </w:r>
    </w:p>
    <w:p>
      <w:pPr>
        <w:pStyle w:val="ListParagraph"/>
        <w:numPr>
          <w:ilvl w:val="0"/>
          <w:numId w:val="2"/>
        </w:numPr>
        <w:spacing w:after="80" w:line="264"/>
        <w:jc w:val="both"/>
      </w:pPr>
      <w:r>
        <w:rPr>
          <w:rFonts w:ascii="Arial" w:cs="Arial" w:eastAsia="Arial" w:hAnsi="Arial"/>
        </w:rPr>
        <w:t xml:space="preserve">Difundir los resultados en la revista Comprende Más y en otros medios de divulgación científica.</w:t>
      </w:r>
    </w:p>
    <w:p>
      <w:pPr>
        <w:pStyle w:val="ListParagraph"/>
        <w:numPr>
          <w:ilvl w:val="0"/>
          <w:numId w:val="2"/>
        </w:numPr>
        <w:spacing w:after="80" w:line="264"/>
        <w:jc w:val="both"/>
      </w:pPr>
      <w:r>
        <w:rPr>
          <w:rFonts w:ascii="Arial" w:cs="Arial" w:eastAsia="Arial" w:hAnsi="Arial"/>
        </w:rPr>
        <w:t xml:space="preserve">Fortalecer las líneas de investigación de SOPECIN y su vínculo con la sociedad.</w:t>
      </w:r>
    </w:p>
    <w:p>
      <w:pPr>
        <w:pStyle w:val="Heading1"/>
      </w:pPr>
      <w:r>
        <w:rPr>
          <w:rFonts w:ascii="Arial" w:cs="Arial" w:eastAsia="Arial" w:hAnsi="Arial"/>
        </w:rPr>
        <w:t xml:space="preserve">3. Alcance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manual se aplica a los asociados de SOPECIN que activen un círculo científico, a las personas que lo integren y a los órganos de SOPECIN que intervienen en su aprobación, seguimiento y difusión.</w:t>
      </w:r>
    </w:p>
    <w:p>
      <w:pPr>
        <w:pStyle w:val="Heading1"/>
      </w:pPr>
      <w:r>
        <w:rPr>
          <w:rFonts w:ascii="Arial" w:cs="Arial" w:eastAsia="Arial" w:hAnsi="Arial"/>
        </w:rPr>
        <w:t xml:space="preserve">4. Documentos base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Constitución Política del Perú.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Ley N.° 28044, Ley General de Educación.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Ley N.° 31250, Ley del Sistema Nacional de Ciencia, Tecnología e Innovación (SINACTI), que reemplaza el marco de la Ley N.° 28303, Ley Marco de Ciencia, Tecnología e Innovación Tecnológica, y su modificatoria, Ley N.° 28613.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Reglamento de la Ley N.° 31250, aprobado por Decreto Supremo N.° 062-2024-PCM.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Ley N.° 30220, Ley Universitaria.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Ley N.° 30948, Ley de Promoción del Desarrollo del Investigador Científico, y su Reglamento, aprobado por Decreto Supremo N.° 076-2023-PCM.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Ley N.° 29733, Ley de Protección de Datos Personales.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Decreto Legislativo N.° 822, Ley sobre el Derecho de Autor.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Decreto Legislativo N.° 807, Ley sobre Facultades, Normas y Organización del INDECOPI.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Estatuto de la Sociedad Peruana de Ciencia e Innovación (SOPECIN).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Código Nacional de Integridad Científica, aprobado por Resolución de Presidencia N.° 028-2024-CONCYTEC-P.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NTP 732.001 Gestión de la I+D+i. Terminología y definiciones de las actividades de I+D+i.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NTP 732.002 Gestión de la I+D+i. Requisitos de un proyecto de I+D+i.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NTP 732.003 Gestión de la I+D+i. Requisitos del sistema de gestión de la I+D+i.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Manual de Frascati 2015. Guía para la recopilación y presentación de información sobre la investigación y el desarrollo experimental.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Reglamento del Registro Nacional de Trabajos de Investigación para optar grados académicos y títulos profesionales (RENATI).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Reglamento del Registro Nacional Científico, Tecnológico y de Innovación Tecnológica (RENACYT).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Guía ALICIA (2019).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Guía para los Grupos de Investigación: Estudiantes y Maestro, Wiñay (2017).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Guía de Presentaciones de Alto Impacto para Investigadores (2020).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Lineamientos técnicos para la ejecución de proyectos de ciencia, tecnología e innovación con recursos públicos.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Política Nacional de Competitividad y Productividad 2019-2030 y Plan Nacional de Competitividad y Productividad 2019-2030.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Emprendedor Peruano, Ministerio de la Producción, y Global Entrepreneurship Monitor.</w:t>
      </w:r>
    </w:p>
    <w:p>
      <w:pPr>
        <w:pStyle w:val="Heading1"/>
      </w:pPr>
      <w:r>
        <w:rPr>
          <w:rFonts w:ascii="Arial" w:cs="Arial" w:eastAsia="Arial" w:hAnsi="Arial"/>
        </w:rPr>
        <w:t xml:space="preserve">5. Definiciones</w:t>
      </w:r>
    </w:p>
    <w:p>
      <w:pPr>
        <w:pStyle w:val="Heading2"/>
      </w:pPr>
      <w:r>
        <w:rPr>
          <w:rFonts w:ascii="Arial" w:cs="Arial" w:eastAsia="Arial" w:hAnsi="Arial"/>
        </w:rPr>
        <w:t xml:space="preserve">5.1 Términos propios del círculo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Círculo científico: </w:t>
      </w:r>
      <w:r>
        <w:rPr>
          <w:rFonts w:ascii="Arial" w:cs="Arial" w:eastAsia="Arial" w:hAnsi="Arial"/>
        </w:rPr>
        <w:t xml:space="preserve">Grupo de personas naturales o jurídicas que tienen un conocimiento o interés en común sobre un tema identificable en una de las seis áreas de conocimiento de la OCDE, y que se organizan para lograr un aporte científico para el desarrollo de la sociedad.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Activación del Círculo (AC): </w:t>
      </w:r>
      <w:r>
        <w:rPr>
          <w:rFonts w:ascii="Arial" w:cs="Arial" w:eastAsia="Arial" w:hAnsi="Arial"/>
        </w:rPr>
        <w:t xml:space="preserve">Documento con el que un asociado solicita al Consejo Directivo la creación de un círculo científico (Anexo 01).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Responsable del Círculo: </w:t>
      </w:r>
      <w:r>
        <w:rPr>
          <w:rFonts w:ascii="Arial" w:cs="Arial" w:eastAsia="Arial" w:hAnsi="Arial"/>
        </w:rPr>
        <w:t xml:space="preserve">Asociado de SOPECIN que presenta la AC y lidera el círculo.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Integrante: </w:t>
      </w:r>
      <w:r>
        <w:rPr>
          <w:rFonts w:ascii="Arial" w:cs="Arial" w:eastAsia="Arial" w:hAnsi="Arial"/>
        </w:rPr>
        <w:t xml:space="preserve">Persona aceptada por el Responsable del Círculo para participar en sus actividades.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Consejo Directivo: </w:t>
      </w:r>
      <w:r>
        <w:rPr>
          <w:rFonts w:ascii="Arial" w:cs="Arial" w:eastAsia="Arial" w:hAnsi="Arial"/>
        </w:rPr>
        <w:t xml:space="preserve">Órgano de SOPECIN que aprueba la AC, sus modificaciones y la finalización del círculo.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Área de conocimiento OCDE: </w:t>
      </w:r>
      <w:r>
        <w:rPr>
          <w:rFonts w:ascii="Arial" w:cs="Arial" w:eastAsia="Arial" w:hAnsi="Arial"/>
        </w:rPr>
        <w:t xml:space="preserve">Clasificación de los Campos de Investigación y Desarrollo (FORD) propuesta por la Organización para la Cooperación y el Desarrollo Económicos (OCDE) para ordenar las actividades de I+D según el ámbito de conocimiento: ciencias naturales; ingeniería y tecnología; ciencias médicas y de la salud; ciencias agrícolas; ciencias sociales; y humanidades.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Producción Intelectual Universitaria (PIU): </w:t>
      </w:r>
      <w:r>
        <w:rPr>
          <w:rFonts w:ascii="Arial" w:cs="Arial" w:eastAsia="Arial" w:hAnsi="Arial"/>
        </w:rPr>
        <w:t xml:space="preserve">Resultado de las decisiones que toman administrativos, docentes, estudiantes, egresados y vinculantes en relación con la gestión, la formación, la investigación y la transferencia en una universidad (Manrique, 2022).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Productos PIU: </w:t>
      </w:r>
      <w:r>
        <w:rPr>
          <w:rFonts w:ascii="Arial" w:cs="Arial" w:eastAsia="Arial" w:hAnsi="Arial"/>
        </w:rPr>
        <w:t xml:space="preserve">Artículos de opinión, estudios de caso, artículos de eventos académicos, informes breves, cartas al editor, investigaciones originales, revisiones de metodologías o métodos, libros o capítulos de libro, editoriales, encuestas cortas, guías, opiniones de expertos, prototipos, trabajos de investigación, tesinas y tesis de bachiller, título profesional, maestría o doctorado.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Recursos: </w:t>
      </w:r>
      <w:r>
        <w:rPr>
          <w:rFonts w:ascii="Arial" w:cs="Arial" w:eastAsia="Arial" w:hAnsi="Arial"/>
        </w:rPr>
        <w:t xml:space="preserve">Aporte económico, humano o material que SOPECIN puede asignar a un círculo para facilitar sus actividades.</w:t>
      </w:r>
    </w:p>
    <w:p>
      <w:pPr>
        <w:pStyle w:val="Heading2"/>
      </w:pPr>
      <w:r>
        <w:rPr>
          <w:rFonts w:ascii="Arial" w:cs="Arial" w:eastAsia="Arial" w:hAnsi="Arial"/>
        </w:rPr>
        <w:t xml:space="preserve">5.2 Investigación, desarrollo e innovación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Investigación: </w:t>
      </w:r>
      <w:r>
        <w:rPr>
          <w:rFonts w:ascii="Arial" w:cs="Arial" w:eastAsia="Arial" w:hAnsi="Arial"/>
        </w:rPr>
        <w:t xml:space="preserve">Indagación original y planificada que persigue descubrir nuevos conocimientos y una comprensión superior en el ámbito científico o tecnológico.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Investigación básica: </w:t>
      </w:r>
      <w:r>
        <w:rPr>
          <w:rFonts w:ascii="Arial" w:cs="Arial" w:eastAsia="Arial" w:hAnsi="Arial"/>
        </w:rPr>
        <w:t xml:space="preserve">Generación o ampliación de los conocimientos científicos y técnicos generales, no necesariamente vinculados a una aplicación o uso particular.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Investigación aplicada: </w:t>
      </w:r>
      <w:r>
        <w:rPr>
          <w:rFonts w:ascii="Arial" w:cs="Arial" w:eastAsia="Arial" w:hAnsi="Arial"/>
        </w:rPr>
        <w:t xml:space="preserve">Generación o ampliación de conocimientos con vistas a utilizarlos en el desarrollo de productos o procesos nuevos, o en la mejora importante de los existentes.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Desarrollo experimental: </w:t>
      </w:r>
      <w:r>
        <w:rPr>
          <w:rFonts w:ascii="Arial" w:cs="Arial" w:eastAsia="Arial" w:hAnsi="Arial"/>
        </w:rPr>
        <w:t xml:space="preserve">Trabajo sistemático que aprovecha los conocimientos de la investigación o de la experiencia práctica para producir nuevos materiales, productos o dispositivos, poner en marcha nuevos procesos, sistemas y servicios, o mejorar sustancialmente los existentes.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Desarrollo tecnológico: </w:t>
      </w:r>
      <w:r>
        <w:rPr>
          <w:rFonts w:ascii="Arial" w:cs="Arial" w:eastAsia="Arial" w:hAnsi="Arial"/>
        </w:rPr>
        <w:t xml:space="preserve">Aplicación de los resultados de la investigación o de otro conocimiento científico a un plan o diseño para elaborar materiales, productos, métodos, procesos o sistemas nuevos o sustancialmente mejorados, antes de su producción o uso comercial.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Innovación: </w:t>
      </w:r>
      <w:r>
        <w:rPr>
          <w:rFonts w:ascii="Arial" w:cs="Arial" w:eastAsia="Arial" w:hAnsi="Arial"/>
        </w:rPr>
        <w:t xml:space="preserve">Introducción exitosa en el mercado o en la sociedad de un producto (bien o servicio), proceso, método de comercialización o método organizativo nuevo o significativamente mejorado.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Transferencia de tecnología: </w:t>
      </w:r>
      <w:r>
        <w:rPr>
          <w:rFonts w:ascii="Arial" w:cs="Arial" w:eastAsia="Arial" w:hAnsi="Arial"/>
        </w:rPr>
        <w:t xml:space="preserve">Transmisión de información científica y tecnológica, del conocimiento, de los medios y de los derechos de explotación a terceros para producir un bien, desarrollar un proceso o prestar un servicio.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Prototipo: </w:t>
      </w:r>
      <w:r>
        <w:rPr>
          <w:rFonts w:ascii="Arial" w:cs="Arial" w:eastAsia="Arial" w:hAnsi="Arial"/>
        </w:rPr>
        <w:t xml:space="preserve">Modelo original, a menor escala, de un producto, proceso, servicio o tecnología sobre el que se hacen pruebas que reproducen su uso cotidiano; sus resultados sirven para mejorarlo y para las etapas de escalamiento y comercialización, aunque no pueden generalizarse.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Revisión sistemática: </w:t>
      </w:r>
      <w:r>
        <w:rPr>
          <w:rFonts w:ascii="Arial" w:cs="Arial" w:eastAsia="Arial" w:hAnsi="Arial"/>
        </w:rPr>
        <w:t xml:space="preserve">Evaluación ordenada y explícita de la literatura existente para responder una pregunta de investigación clara sobre un tema específico.</w:t>
      </w:r>
    </w:p>
    <w:p>
      <w:pPr>
        <w:spacing w:after="120" w:line="276"/>
        <w:jc w:val="left"/>
      </w:pPr>
      <w:r>
        <w:rPr>
          <w:rFonts w:ascii="Arial" w:cs="Arial" w:eastAsia="Arial" w:hAnsi="Arial"/>
          <w:b/>
          <w:bCs/>
        </w:rPr>
        <w:t xml:space="preserve">Según el Manual de Frascati, una actividad de I+D reúne cinco criterios: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Novedosa: </w:t>
      </w:r>
      <w:r>
        <w:rPr>
          <w:rFonts w:ascii="Arial" w:cs="Arial" w:eastAsia="Arial" w:hAnsi="Arial"/>
        </w:rPr>
        <w:t xml:space="preserve">crea conocimiento nuevo para su contexto (la ciencia, la industria o la organización).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Creativa: </w:t>
      </w:r>
      <w:r>
        <w:rPr>
          <w:rFonts w:ascii="Arial" w:cs="Arial" w:eastAsia="Arial" w:hAnsi="Arial"/>
        </w:rPr>
        <w:t xml:space="preserve">genera conceptos o ideas que mejoran el conocimiento existente; excluye los cambios rutinarios.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Incierta: </w:t>
      </w:r>
      <w:r>
        <w:rPr>
          <w:rFonts w:ascii="Arial" w:cs="Arial" w:eastAsia="Arial" w:hAnsi="Arial"/>
        </w:rPr>
        <w:t xml:space="preserve">su resultado, costo y duración no están asegurados desde el inicio.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Sistemática: </w:t>
      </w:r>
      <w:r>
        <w:rPr>
          <w:rFonts w:ascii="Arial" w:cs="Arial" w:eastAsia="Arial" w:hAnsi="Arial"/>
        </w:rPr>
        <w:t xml:space="preserve">se planifica, se presupuesta y se registra tanto el proceso como los resultados.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Transferible o reproducible: </w:t>
      </w:r>
      <w:r>
        <w:rPr>
          <w:rFonts w:ascii="Arial" w:cs="Arial" w:eastAsia="Arial" w:hAnsi="Arial"/>
        </w:rPr>
        <w:t xml:space="preserve">sus resultados, positivos o negativos, se pueden transferir y otros investigadores pueden reproducirlos; por eso se divulgan en revistas con revisión por pares.</w:t>
      </w:r>
    </w:p>
    <w:p>
      <w:pPr>
        <w:pStyle w:val="Heading2"/>
      </w:pPr>
      <w:r>
        <w:rPr>
          <w:rFonts w:ascii="Arial" w:cs="Arial" w:eastAsia="Arial" w:hAnsi="Arial"/>
        </w:rPr>
        <w:t xml:space="preserve">5.3 Niveles de madurez TRL y CRL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nivel de madurez tecnológica (TRL, Technology Readiness Level) indica el estado de una tecnología y lo que le falta para estar disponible en la industria. El nivel de madurez comercial (CRL, Commercial Readiness Level) lo complementa con la necesidad e identificación del mercado.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Tabla 1. Niveles de madurez tecnológica (TRL)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26"/>
      </w:tblGrid>
      <w:tr>
        <w:trPr>
          <w:cantSplit/>
          <w:tblHeader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Descripción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1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Principios básicos reportados de la nueva tecnología propuesta.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2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Formulación conceptual de la propuesta tecnológica.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3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experimental o prueba del concepto tecnológico.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4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Validación tecnológica en entorno de laboratorio: pruebas de baja fidelidad.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5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Validación tecnológica en entorno de laboratorio: pruebas de alta fidelidad.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6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Demostración del funcionamiento del prototipo en laboratorio o planta piloto.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7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Demostración del funcionamiento del prototipo en un entorno operacional real.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8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Tecnología finalizada, validada y certificada.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9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Tecnología en implementación o comercialización (emprendimiento).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Tabla 2. Niveles de madurez comercial (CRL)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26"/>
      </w:tblGrid>
      <w:tr>
        <w:trPr>
          <w:cantSplit/>
          <w:tblHeader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Descripción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1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Conocimiento básico de aplicaciones y uso. Información de mercado limitada e incidental, o no obtenida.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2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Identificación superficial de aplicaciones potenciales. La idea de producto es especulativa y no validada. Análisis de mercado con información secundaria.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3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Identificación más desarrollada de aplicaciones. Una o más hipótesis de prototipo de producto. Análisis de mercado con información primaria.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4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Idea y refinamiento del producto. Análisis tecnología-producto-mercado, propuesta de valor y análisis competitivo básico. Identificación de proveedores, socios, clientes y requisitos de certificación.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5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Modelo costo/rendimiento y diseño del producto. Propuesta de valor validada, aplicación y mercado identificados, vínculo con clientes, proveedores y socios, y análisis financiero básico.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6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Diseño de producto optimizado, asociaciones en la cadena de valor, requisitos normativos comprendidos y modelo financiero más refinado.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7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Diseño de producto completo, acuerdos con proveedores y clientes, certificaciones y normativas cumplidas, y modelo financiero integral.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8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Calificación del cliente y primeras ventas. La comercialización sigue madurando y sus supuestos se validan de forma continua.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9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Despliegue generalizado de la comercialización.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5.4 Nivel de PIU y líneas de investigación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nivel de PIU ubica cada producto según su relación con la investigación, el desarrollo, la innovación y el emprendimiento, y lo vincula con su TRL y CRL.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Tabla 3. Nivel de Producción Intelectual Universitaria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26"/>
        <w:gridCol w:w="1200"/>
        <w:gridCol w:w="1200"/>
        <w:gridCol w:w="1350"/>
        <w:gridCol w:w="1350"/>
      </w:tblGrid>
      <w:tr>
        <w:trPr>
          <w:cantSplit/>
          <w:tblHeader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 de PIU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OCDE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Investigación básica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Investigación aplicada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y 3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experimental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y 4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tecnológico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y 6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y 6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Innovación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 y 8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rPr>
          <w:cantSplit/>
          <w:tblHeader w:val="off"/>
        </w:trPr>
        <w:tc>
          <w:tcPr>
            <w:tcW w:type="dxa" w:w="7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</w:t>
            </w:r>
          </w:p>
        </w:tc>
        <w:tc>
          <w:tcPr>
            <w:tcW w:type="dxa" w:w="32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Emprendimiento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 y 9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</w:tbl>
    <w:p>
      <w:pPr>
        <w:spacing w:after="200" w:before="40"/>
        <w:jc w:val="left"/>
      </w:pPr>
      <w:r>
        <w:rPr>
          <w:rFonts w:ascii="Arial" w:cs="Arial" w:eastAsia="Arial" w:hAnsi="Arial"/>
          <w:color w:val="5B6670"/>
          <w:sz w:val="18"/>
          <w:szCs w:val="18"/>
        </w:rPr>
        <w:t xml:space="preserve">Fuente: Manrique (2022).</w:t>
      </w:r>
    </w:p>
    <w:p>
      <w:pPr>
        <w:spacing w:after="120" w:line="276"/>
        <w:jc w:val="left"/>
      </w:pPr>
      <w:r>
        <w:rPr>
          <w:rFonts w:ascii="Arial" w:cs="Arial" w:eastAsia="Arial" w:hAnsi="Arial"/>
          <w:b/>
          <w:bCs/>
        </w:rPr>
        <w:t xml:space="preserve">Categorías de las líneas de investigación </w:t>
      </w:r>
      <w:r>
        <w:rPr>
          <w:rFonts w:ascii="Arial" w:cs="Arial" w:eastAsia="Arial" w:hAnsi="Arial"/>
        </w:rPr>
        <w:t xml:space="preserve">según su grado de madurez: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Consolidada: </w:t>
      </w:r>
      <w:r>
        <w:rPr>
          <w:rFonts w:ascii="Arial" w:cs="Arial" w:eastAsia="Arial" w:hAnsi="Arial"/>
        </w:rPr>
        <w:t xml:space="preserve">publicaciones en revistas indizadas de impacto internacional, proyectos con financiamiento externo de fondos concursables, derechos de propiedad intelectual y patentes, tesistas de pregrado y posgrado, e instalaciones con equipamiento altamente especializado. Muestra continuidad en el tiempo y su impacto es nacional o internacional.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Por consolidar: </w:t>
      </w:r>
      <w:r>
        <w:rPr>
          <w:rFonts w:ascii="Arial" w:cs="Arial" w:eastAsia="Arial" w:hAnsi="Arial"/>
        </w:rPr>
        <w:t xml:space="preserve">publicaciones en revistas indizadas de impacto nacional, proyectos con financiamiento interno o externo, tesistas de pregrado, e instalaciones y equipamiento adecuados. Su impacto es regional y nacional.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  <w:b/>
          <w:bCs/>
        </w:rPr>
        <w:t xml:space="preserve">Emergente: </w:t>
      </w:r>
      <w:r>
        <w:rPr>
          <w:rFonts w:ascii="Arial" w:cs="Arial" w:eastAsia="Arial" w:hAnsi="Arial"/>
        </w:rPr>
        <w:t xml:space="preserve">publicaciones en revistas no indizadas, sin financiamiento de fondos concursables, pocos tesistas y posibilidad de acceder a instalaciones y equipamiento.</w:t>
      </w:r>
    </w:p>
    <w:p>
      <w:pPr>
        <w:pStyle w:val="Heading2"/>
      </w:pPr>
      <w:r>
        <w:rPr>
          <w:rFonts w:ascii="Arial" w:cs="Arial" w:eastAsia="Arial" w:hAnsi="Arial"/>
        </w:rPr>
        <w:t xml:space="preserve">5.5 Objetivos de Desarrollo Sostenible (ODS)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Los 17 ODS fueron adoptados en 2015 por los Estados Miembros de las Naciones Unidas como un llamado universal para poner fin a la pobreza, proteger el planeta y garantizar la paz y la prosperidad al 2030. Cada producto del círculo indica a qué ODS aporta.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Tabla 4. Objetivos de Desarrollo Sostenible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26"/>
      </w:tblGrid>
      <w:tr>
        <w:trPr>
          <w:cantSplit/>
          <w:tblHeader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Objetivo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Poner fin a la pobreza en todas sus formas y en todo el mundo.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2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Poner fin al hambre, lograr la seguridad alimentaria y la mejora de la nutrición y promover la agricultura sostenible.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3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una vida sana y promover el bienestar de todos a todas las edades.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4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una educación inclusiva y equitativa de calidad y promover oportunidades de aprendizaje permanente para todos.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5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Lograr la igualdad de género y empoderar a todas las mujeres y las niñas.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6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la disponibilidad y la gestión sostenible del agua y el saneamiento para todos.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7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el acceso a una energía asequible, fiable, sostenible y moderna para todos.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8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Promover el crecimiento económico sostenido, inclusivo y sostenible, el empleo pleno y productivo y el trabajo decente para todos.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9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Construir infraestructuras resilientes, promover la industrialización inclusiva y sostenible y fomentar la innovación.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10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Reducir la desigualdad en los países y entre ellos.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11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Lograr que las ciudades y los asentamientos humanos sean inclusivos, seguros, resilientes y sostenibles.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12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modalidades de consumo y producción sostenibles.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13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Adoptar medidas urgentes para combatir el cambio climático y sus efectos.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14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Conservar y utilizar sosteniblemente los océanos, los mares y los recursos marinos para el desarrollo sostenible.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15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Proteger, restablecer y promover el uso sostenible de los ecosistemas terrestres, gestionar sosteniblemente los bosques, luchar contra la desertificación, detener e invertir la degradación de las tierras y detener la pérdida de biodiversidad.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16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Promover sociedades pacíficas e inclusivas para el desarrollo sostenible, facilitar el acceso a la justicia para todos y construir a todos los niveles instituciones eficaces e inclusivas que rindan cuentas.</w:t>
            </w:r>
          </w:p>
        </w:tc>
      </w:tr>
      <w:tr>
        <w:trPr>
          <w:cantSplit/>
          <w:tblHeader w:val="off"/>
        </w:trPr>
        <w:tc>
          <w:tcPr>
            <w:tcW w:type="dxa" w:w="12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17</w:t>
            </w:r>
          </w:p>
        </w:tc>
        <w:tc>
          <w:tcPr>
            <w:tcW w:type="dxa" w:w="78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Fortalecer los medios de implementación y revitalizar la Alianza Mundial para el Desarrollo Sostenible.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5.6 Propiedad intelectual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Propiedad intelectual: </w:t>
      </w:r>
      <w:r>
        <w:rPr>
          <w:rFonts w:ascii="Arial" w:cs="Arial" w:eastAsia="Arial" w:hAnsi="Arial"/>
        </w:rPr>
        <w:t xml:space="preserve">Derecho del autor sobre el contenido de su obra; solo él puede autorizar su uso.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Patente: </w:t>
      </w:r>
      <w:r>
        <w:rPr>
          <w:rFonts w:ascii="Arial" w:cs="Arial" w:eastAsia="Arial" w:hAnsi="Arial"/>
        </w:rPr>
        <w:t xml:space="preserve">Título que otorga el Estado a un titular para ejercer el derecho exclusivo de comercializar una invención durante un periodo y en un territorio determinados.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Plagio: </w:t>
      </w:r>
      <w:r>
        <w:rPr>
          <w:rFonts w:ascii="Arial" w:cs="Arial" w:eastAsia="Arial" w:hAnsi="Arial"/>
        </w:rPr>
        <w:t xml:space="preserve">Apropiación de todos o algunos elementos originales de la obra de otro autor, presentándolos como propios.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Filiación institucional: </w:t>
      </w:r>
      <w:r>
        <w:rPr>
          <w:rFonts w:ascii="Arial" w:cs="Arial" w:eastAsia="Arial" w:hAnsi="Arial"/>
        </w:rPr>
        <w:t xml:space="preserve">Identificación clara de la institución a la que pertenece el autor y que respalda su producción científica.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Instituto Nacional de Defensa de la Competencia y de la Protección de la Propiedad Intelectual (INDECOPI) organiza la protección de las creaciones como se muestra en las figuras 1 y 2.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Figura 1. Sistema de propiedad intelectual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2" name="image1.png" descr="Imagen" titl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40"/>
        <w:jc w:val="left"/>
      </w:pPr>
      <w:r>
        <w:rPr>
          <w:rFonts w:ascii="Arial" w:cs="Arial" w:eastAsia="Arial" w:hAnsi="Arial"/>
          <w:color w:val="5B6670"/>
          <w:sz w:val="18"/>
          <w:szCs w:val="18"/>
        </w:rPr>
        <w:t xml:space="preserve">Fuente: </w:t>
      </w:r>
      <w:hyperlink w:history="1" r:id="rIdive91rq4tkuln1b3guz8k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Patenta (INDECOPI)</w:t>
        </w:r>
      </w:hyperlink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Figura 2. Herramientas de protección según el tipo de creación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3" name="image2.png" descr="Imagen" titl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40"/>
        <w:jc w:val="left"/>
      </w:pPr>
      <w:r>
        <w:rPr>
          <w:rFonts w:ascii="Arial" w:cs="Arial" w:eastAsia="Arial" w:hAnsi="Arial"/>
          <w:color w:val="5B6670"/>
          <w:sz w:val="18"/>
          <w:szCs w:val="18"/>
        </w:rPr>
        <w:t xml:space="preserve">Fuente: </w:t>
      </w:r>
      <w:hyperlink w:history="1" r:id="rIdj4fw2o7cnvcjvgtfovvb5">
        <w:r>
          <w:rPr>
            <w:rStyle w:val="Hyperlink"/>
            <w:rFonts w:ascii="Arial" w:cs="Arial" w:eastAsia="Arial" w:hAnsi="Arial"/>
            <w:sz w:val="18"/>
            <w:szCs w:val="18"/>
          </w:rPr>
          <w:t xml:space="preserve">Patenta (INDECOPI)</w:t>
        </w:r>
      </w:hyperlink>
    </w:p>
    <w:p>
      <w:pPr>
        <w:pStyle w:val="Heading2"/>
      </w:pPr>
      <w:r>
        <w:rPr>
          <w:rFonts w:ascii="Arial" w:cs="Arial" w:eastAsia="Arial" w:hAnsi="Arial"/>
        </w:rPr>
        <w:t xml:space="preserve">5.7 Trabajos de investigación y repositorios (RENATI)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Trabajo de investigación: </w:t>
      </w:r>
      <w:r>
        <w:rPr>
          <w:rFonts w:ascii="Arial" w:cs="Arial" w:eastAsia="Arial" w:hAnsi="Arial"/>
        </w:rPr>
        <w:t xml:space="preserve">Modalidad para obtener un grado académico que genera conocimiento en un campo de estudio; puede ser individual o grupal y es de carácter público. Es la única modalidad para el grado de bachiller y una de las dos para el grado de maestro.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Tesis: </w:t>
      </w:r>
      <w:r>
        <w:rPr>
          <w:rFonts w:ascii="Arial" w:cs="Arial" w:eastAsia="Arial" w:hAnsi="Arial"/>
        </w:rPr>
        <w:t xml:space="preserve">Trabajo de investigación original e inédito sobre un área académica, sustentado públicamente y aprobado por un jurado, para obtener el título profesional, el título de segunda especialidad o los grados de maestro y doctor. Puede derivar en un artículo publicado en una revista indexada.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Trabajo académico: </w:t>
      </w:r>
      <w:r>
        <w:rPr>
          <w:rFonts w:ascii="Arial" w:cs="Arial" w:eastAsia="Arial" w:hAnsi="Arial"/>
        </w:rPr>
        <w:t xml:space="preserve">Modalidad de titulación de segunda especialidad que usa al menos una herramienta metodológica y puede tener distintos formatos (proyecto, ensayo, monografía, entre otros).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Trabajo de suficiencia profesional: </w:t>
      </w:r>
      <w:r>
        <w:rPr>
          <w:rFonts w:ascii="Arial" w:cs="Arial" w:eastAsia="Arial" w:hAnsi="Arial"/>
        </w:rPr>
        <w:t xml:space="preserve">Modalidad para obtener el título profesional en la que el bachiller demuestra y documenta las competencias profesionales adquiridas.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Repositorio ALICIA: </w:t>
      </w:r>
      <w:r>
        <w:rPr>
          <w:rFonts w:ascii="Arial" w:cs="Arial" w:eastAsia="Arial" w:hAnsi="Arial"/>
        </w:rPr>
        <w:t xml:space="preserve">Repositorio Nacional Digital de Ciencia, Tecnología e Innovación de Acceso Abierto, administrado por el CONCYTEC.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Repositorio RENATI: </w:t>
      </w:r>
      <w:r>
        <w:rPr>
          <w:rFonts w:ascii="Arial" w:cs="Arial" w:eastAsia="Arial" w:hAnsi="Arial"/>
        </w:rPr>
        <w:t xml:space="preserve">Repositorio digital de la SUNEDU que reúne los trabajos de investigación para optar grados y títulos en el país.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Acceso abierto y restringido: </w:t>
      </w:r>
      <w:r>
        <w:rPr>
          <w:rFonts w:ascii="Arial" w:cs="Arial" w:eastAsia="Arial" w:hAnsi="Arial"/>
        </w:rPr>
        <w:t xml:space="preserve">En acceso abierto cualquier persona consulta el texto completo; en acceso restringido solo se muestran los metadatos porque el autor no autorizó la difusión del texto.</w:t>
      </w:r>
    </w:p>
    <w:p>
      <w:pPr>
        <w:spacing w:after="120" w:line="276"/>
        <w:jc w:val="both"/>
      </w:pPr>
      <w:r>
        <w:rPr>
          <w:rFonts w:ascii="Arial" w:cs="Arial" w:eastAsia="Arial" w:hAnsi="Arial"/>
          <w:b/>
          <w:bCs/>
        </w:rPr>
        <w:t xml:space="preserve">Certificado de Conducta Responsable en Investigación (CRI): </w:t>
      </w:r>
      <w:r>
        <w:rPr>
          <w:rFonts w:ascii="Arial" w:cs="Arial" w:eastAsia="Arial" w:hAnsi="Arial"/>
        </w:rPr>
        <w:t xml:space="preserve">Constancia digital del CONCYTEC que se obtiene al aprobar el curso CRI y se muestra en la ficha pública del CTI Vitae.</w:t>
      </w:r>
    </w:p>
    <w:p>
      <w:pPr>
        <w:pStyle w:val="Heading1"/>
      </w:pPr>
      <w:r>
        <w:rPr>
          <w:rFonts w:ascii="Arial" w:cs="Arial" w:eastAsia="Arial" w:hAnsi="Arial"/>
        </w:rPr>
        <w:t xml:space="preserve">6. Organización del círculo</w:t>
      </w:r>
    </w:p>
    <w:p>
      <w:pPr>
        <w:pStyle w:val="Heading2"/>
      </w:pPr>
      <w:r>
        <w:rPr>
          <w:rFonts w:ascii="Arial" w:cs="Arial" w:eastAsia="Arial" w:hAnsi="Arial"/>
        </w:rPr>
        <w:t xml:space="preserve">6.1 Integración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Puede activar un círculo científico cualquier asociado de SOPECIN de las siguientes categorías: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Asociado fundador.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Asociado principal.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Asociado activo.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Asociado honorario.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Asociado benefactor.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asociado que presenta la Activación del Círculo asume el rol de Responsable del Círculo. Cada círculo tiene como mínimo tres (03) integrantes, incluido el responsable.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SOPECIN difunde la invitación para integrar el círculo. La aceptación o el rechazo de cada persona que desee integrarlo es responsabilidad del Responsable del Círculo.</w:t>
      </w:r>
    </w:p>
    <w:p>
      <w:pPr>
        <w:pStyle w:val="Heading2"/>
      </w:pPr>
      <w:r>
        <w:rPr>
          <w:rFonts w:ascii="Arial" w:cs="Arial" w:eastAsia="Arial" w:hAnsi="Arial"/>
        </w:rPr>
        <w:t xml:space="preserve">6.2 Roles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Tabla 5. Roles en un círculo científico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cantSplit/>
          <w:tblHeader/>
        </w:trPr>
        <w:tc>
          <w:tcPr>
            <w:tcW w:type="dxa" w:w="26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Rol</w:t>
            </w:r>
          </w:p>
        </w:tc>
        <w:tc>
          <w:tcPr>
            <w:tcW w:type="dxa" w:w="64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DCEBE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Funciones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Responsable del Círculo</w:t>
            </w:r>
          </w:p>
        </w:tc>
        <w:tc>
          <w:tcPr>
            <w:tcW w:type="dxa" w:w="64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Presenta la AC, acepta a los integrantes, convoca y conduce las reuniones, vela por el cumplimiento de la AC y presenta los resultados para su publicación.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Integrantes</w:t>
            </w:r>
          </w:p>
        </w:tc>
        <w:tc>
          <w:tcPr>
            <w:tcW w:type="dxa" w:w="64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Participan en las reuniones, aportan conocimiento y evidencia, y contribuyen a los productos PIU del círculo.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SOPECIN</w:t>
            </w:r>
          </w:p>
        </w:tc>
        <w:tc>
          <w:tcPr>
            <w:tcW w:type="dxa" w:w="64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Difunde la invitación, brinda los recursos aprobados y apoya la difusión de los resultados.</w:t>
            </w:r>
          </w:p>
        </w:tc>
      </w:tr>
      <w:tr>
        <w:trPr>
          <w:cantSplit/>
          <w:tblHeader w:val="off"/>
        </w:trPr>
        <w:tc>
          <w:tcPr>
            <w:tcW w:type="dxa" w:w="26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Consejo Directivo</w:t>
            </w:r>
          </w:p>
        </w:tc>
        <w:tc>
          <w:tcPr>
            <w:tcW w:type="dxa" w:w="64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Aprueba la AC por mayoría simple, evalúa sus modificaciones y la finalización del círculo.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</w:rPr>
        <w:t xml:space="preserve">7. Activación y funcionamiento</w:t>
      </w:r>
    </w:p>
    <w:p>
      <w:pPr>
        <w:pStyle w:val="Heading2"/>
      </w:pPr>
      <w:r>
        <w:rPr>
          <w:rFonts w:ascii="Arial" w:cs="Arial" w:eastAsia="Arial" w:hAnsi="Arial"/>
        </w:rPr>
        <w:t xml:space="preserve">7.1 Activación</w:t>
      </w:r>
    </w:p>
    <w:p>
      <w:pPr>
        <w:pStyle w:val="ListParagraph"/>
        <w:numPr>
          <w:ilvl w:val="0"/>
          <w:numId w:val="4"/>
        </w:numPr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Solicitud. </w:t>
      </w:r>
      <w:r>
        <w:rPr>
          <w:rFonts w:ascii="Arial" w:cs="Arial" w:eastAsia="Arial" w:hAnsi="Arial"/>
        </w:rPr>
        <w:t xml:space="preserve">El asociado completa la Activación del Círculo (Anexo 01) y la presenta al Consejo Directivo.</w:t>
      </w:r>
    </w:p>
    <w:p>
      <w:pPr>
        <w:pStyle w:val="ListParagraph"/>
        <w:numPr>
          <w:ilvl w:val="0"/>
          <w:numId w:val="4"/>
        </w:numPr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Aprobación. </w:t>
      </w:r>
      <w:r>
        <w:rPr>
          <w:rFonts w:ascii="Arial" w:cs="Arial" w:eastAsia="Arial" w:hAnsi="Arial"/>
        </w:rPr>
        <w:t xml:space="preserve">El Consejo Directivo aprueba la AC por mayoría simple.</w:t>
      </w:r>
    </w:p>
    <w:p>
      <w:pPr>
        <w:pStyle w:val="ListParagraph"/>
        <w:numPr>
          <w:ilvl w:val="0"/>
          <w:numId w:val="4"/>
        </w:numPr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Convocatoria. </w:t>
      </w:r>
      <w:r>
        <w:rPr>
          <w:rFonts w:ascii="Arial" w:cs="Arial" w:eastAsia="Arial" w:hAnsi="Arial"/>
        </w:rPr>
        <w:t xml:space="preserve">SOPECIN difunde la invitación y el Responsable del Círculo acepta a los integrantes.</w:t>
      </w:r>
    </w:p>
    <w:p>
      <w:pPr>
        <w:pStyle w:val="ListParagraph"/>
        <w:numPr>
          <w:ilvl w:val="0"/>
          <w:numId w:val="4"/>
        </w:numPr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Ejecución. </w:t>
      </w:r>
      <w:r>
        <w:rPr>
          <w:rFonts w:ascii="Arial" w:cs="Arial" w:eastAsia="Arial" w:hAnsi="Arial"/>
        </w:rPr>
        <w:t xml:space="preserve">El círculo se reúne según los temas, la periodicidad, la forma y la cantidad de reuniones aprobadas en la AC.</w:t>
      </w:r>
    </w:p>
    <w:p>
      <w:pPr>
        <w:pStyle w:val="ListParagraph"/>
        <w:numPr>
          <w:ilvl w:val="0"/>
          <w:numId w:val="4"/>
        </w:numPr>
        <w:spacing w:after="80" w:line="264"/>
        <w:jc w:val="both"/>
      </w:pPr>
      <w:r>
        <w:rPr>
          <w:rFonts w:ascii="Arial" w:cs="Arial" w:eastAsia="Arial" w:hAnsi="Arial"/>
          <w:b/>
          <w:bCs/>
        </w:rPr>
        <w:t xml:space="preserve">Difusión. </w:t>
      </w:r>
      <w:r>
        <w:rPr>
          <w:rFonts w:ascii="Arial" w:cs="Arial" w:eastAsia="Arial" w:hAnsi="Arial"/>
        </w:rPr>
        <w:t xml:space="preserve">El círculo publica sus resultados según lo establecido en el numeral 8.</w:t>
      </w:r>
    </w:p>
    <w:p>
      <w:pPr>
        <w:pStyle w:val="Heading2"/>
      </w:pPr>
      <w:r>
        <w:rPr>
          <w:rFonts w:ascii="Arial" w:cs="Arial" w:eastAsia="Arial" w:hAnsi="Arial"/>
        </w:rPr>
        <w:t xml:space="preserve">7.2 Funcionamiento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círculo cumple lo aprobado en la AC. Se recomienda registrar la asistencia y los acuerdos de cada reunión, porque sustentan la autoría y los resultados. De manera opcional, el círculo puede organizar un evento científico, como un congreso, para discutir y documentar sus conclusiones.</w:t>
      </w:r>
    </w:p>
    <w:p>
      <w:pPr>
        <w:pStyle w:val="Heading2"/>
      </w:pPr>
      <w:r>
        <w:rPr>
          <w:rFonts w:ascii="Arial" w:cs="Arial" w:eastAsia="Arial" w:hAnsi="Arial"/>
        </w:rPr>
        <w:t xml:space="preserve">7.3 Modificación y finalización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Cualquier modificación a la AC se sustenta con un documento dirigido al Consejo Directivo, que tiene hasta treinta (30) días calendario para aceptarla o rechazarla. Con el sustento técnico respectivo, el Consejo Directivo también puede disponer la finalización de las actividades del círculo.</w:t>
      </w:r>
    </w:p>
    <w:p>
      <w:pPr>
        <w:pStyle w:val="Heading1"/>
      </w:pPr>
      <w:r>
        <w:rPr>
          <w:rFonts w:ascii="Arial" w:cs="Arial" w:eastAsia="Arial" w:hAnsi="Arial"/>
        </w:rPr>
        <w:t xml:space="preserve">8. Difusión de resultados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De acuerdo con lo señalado en la AC, los resultados del círculo se publican en la revista Comprende Más de SOPECIN. Los manuscritos siguen las normas para autores de la revista y pasan por su proceso editorial y su revisión por pares, como cualquier otro envío. Los resultados también pueden difundirse en otras revistas indexadas y en eventos científicos.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Figuran como autores solo quienes contribuyeron al producto, con su rol según la taxonomía CRediT.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Cada autor firma con su filiación institucional real.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El nombre del círculo se menciona en la presentación o en los agradecimientos del producto.</w:t>
      </w:r>
    </w:p>
    <w:p>
      <w:pPr>
        <w:pStyle w:val="Heading1"/>
      </w:pPr>
      <w:r>
        <w:rPr>
          <w:rFonts w:ascii="Arial" w:cs="Arial" w:eastAsia="Arial" w:hAnsi="Arial"/>
        </w:rPr>
        <w:t xml:space="preserve">9. Recursos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círculo puede solicitar a SOPECIN aportes económicos, humanos y materiales que faciliten sus actividades, detallados en la sección «Requerimientos» de la AC. SOPECIN los asigna según su disponibilidad.</w:t>
      </w:r>
    </w:p>
    <w:p>
      <w:pPr>
        <w:pStyle w:val="Heading1"/>
      </w:pPr>
      <w:r>
        <w:rPr>
          <w:rFonts w:ascii="Arial" w:cs="Arial" w:eastAsia="Arial" w:hAnsi="Arial"/>
        </w:rPr>
        <w:t xml:space="preserve">10. Integridad científica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Se cumple el Código Nacional de Integridad Científica: cero tolerancia al plagio, a la fabricación o falsificación de datos y a la compra o venta de autorías.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Todo producto se revisa con una herramienta de detección de similitud antes de enviarse a publicación.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El uso de inteligencia artificial generativa se declara indicando la herramienta y su finalidad; la IA no puede figurar como autora.</w:t>
      </w:r>
    </w:p>
    <w:p>
      <w:pPr>
        <w:pStyle w:val="ListParagraph"/>
        <w:numPr>
          <w:ilvl w:val="0"/>
          <w:numId w:val="3"/>
        </w:numPr>
        <w:spacing w:after="60" w:line="264"/>
        <w:jc w:val="both"/>
      </w:pPr>
      <w:r>
        <w:rPr>
          <w:rFonts w:ascii="Arial" w:cs="Arial" w:eastAsia="Arial" w:hAnsi="Arial"/>
        </w:rPr>
        <w:t xml:space="preserve">Si se recogen datos de personas, se obtiene su consentimiento informado y se protegen sus datos según la Ley N.° 29733; con menores de edad se requiere además la autorización de su padre, madre o tutor.</w:t>
      </w:r>
    </w:p>
    <w:p>
      <w:pPr>
        <w:pStyle w:val="Heading1"/>
      </w:pPr>
      <w:r>
        <w:rPr>
          <w:rFonts w:ascii="Arial" w:cs="Arial" w:eastAsia="Arial" w:hAnsi="Arial"/>
        </w:rPr>
        <w:t xml:space="preserve">11. Sanciones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El Responsable del Círculo y los integrantes que sean asociados se someten a lo establecido en el Estatuto de SOPECIN.</w:t>
      </w:r>
    </w:p>
    <w:p>
      <w:pPr>
        <w:pStyle w:val="Heading1"/>
      </w:pPr>
      <w:r>
        <w:rPr>
          <w:rFonts w:ascii="Arial" w:cs="Arial" w:eastAsia="Arial" w:hAnsi="Arial"/>
        </w:rPr>
        <w:t xml:space="preserve">12. Disposiciones finales</w:t>
      </w:r>
    </w:p>
    <w:p>
      <w:pPr>
        <w:pStyle w:val="ListParagraph"/>
        <w:numPr>
          <w:ilvl w:val="0"/>
          <w:numId w:val="5"/>
        </w:numPr>
        <w:spacing w:after="80" w:line="264"/>
        <w:jc w:val="both"/>
      </w:pPr>
      <w:r>
        <w:rPr>
          <w:rFonts w:ascii="Arial" w:cs="Arial" w:eastAsia="Arial" w:hAnsi="Arial"/>
        </w:rPr>
        <w:t xml:space="preserve">El presente manual entra en vigencia el 15 de mayo de 2025.</w:t>
      </w:r>
    </w:p>
    <w:p>
      <w:pPr>
        <w:pStyle w:val="ListParagraph"/>
        <w:numPr>
          <w:ilvl w:val="0"/>
          <w:numId w:val="5"/>
        </w:numPr>
        <w:spacing w:after="80" w:line="264"/>
        <w:jc w:val="both"/>
      </w:pPr>
      <w:r>
        <w:rPr>
          <w:rFonts w:ascii="Arial" w:cs="Arial" w:eastAsia="Arial" w:hAnsi="Arial"/>
        </w:rPr>
        <w:t xml:space="preserve">Los casos no previstos en este manual son resueltos por el Consejo Directivo.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Anexo 01. Activación del Círculo (AC)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Complete cada campo y envíe el documento al Consejo Directivo de SOPECIN.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A. Asociado responsable del círculo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Nombres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Apellidos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Tipo de asociado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Código de asociado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Correo electrónico institucional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Teléfono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B. Círculo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Denominación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Área OCDE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Objetivo general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Duración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C. Integrantes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Grado académico requerido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Actividad o perfil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Formulario de invitación (enlace)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D. Reuniones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Temas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Periodicidad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Forma (presencial, virtual o mixta)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Cantidad de reuniones al año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Opcional (evento científico u otro)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E. Entregables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 de PIU (TRL, CRL, OCDE, ODS)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F. Requerimientos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Materiales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Humanos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Económicos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before="400"/>
      </w:pPr>
      <w:r>
        <w:rPr>
          <w:rFonts w:ascii="Arial" w:cs="Arial" w:eastAsia="Arial" w:hAnsi="Arial"/>
        </w:rPr>
        <w:t xml:space="preserve">Firma del asociado responsable: ______________________________          Fecha: ____ / ____ / ________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Anexo 02. Ejemplo de Activación del Círculo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Ejemplo del Círculo Científico de Educación de SOPECIN. Los datos personales del responsable se reemplazaron por campos entre corchetes.</w:t>
      </w:r>
    </w:p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A. Asociado responsable del círculo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Nombres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[Nombres]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Apellidos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[Apellidos]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Tipo de asociado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Fundador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Código de asociado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[N.° 000-0000]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Correo electrónico institucional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[correo]@sopecin.org.pe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Teléfono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[Teléfono]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B. Círculo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Denominación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Círculo Científico de Educación - SOPECIN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Área OCDE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 Ciencias sociales (5.03 Ciencias de la educación)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Objetivo general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Analizar y proponer mejoras en el proceso educativo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Duración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Indeterminada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C. Integrantes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Grado académico requerido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Licenciados, maestros, doctores y PhD relacionados con educación o afines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Actividad o perfil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Educadores, proveedores de bienes o servicios relacionados con educación e integrantes de la comunidad educativa nacional e internacional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Formulario de invitación (enlace)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hyperlink w:history="1" r:id="rId4bv4x7ds56tdaio84mi8r">
              <w:r>
                <w:rPr>
                  <w:rStyle w:val="Hyperlink"/>
                  <w:rFonts w:ascii="Arial" w:cs="Arial" w:eastAsia="Arial" w:hAnsi="Arial"/>
                  <w:sz w:val="19"/>
                  <w:szCs w:val="19"/>
                </w:rPr>
                <w:t xml:space="preserve">Formulario de invitación (Google Forms)</w:t>
              </w:r>
            </w:hyperlink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D. Reuniones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Temas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Currículo nacional, tesis, profesores, padres de familia, estudiantes y otros que acuerden los integrantes en relación con la educación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Periodicidad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Bimestral; fechas y horarios por coordinación interna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Forma (presencial, virtual o mixta)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Presencial y virtual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Cantidad de reuniones al año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Opcional (evento científico u otro)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Evento científico, como un congreso, para la discusión y documentación final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E. Entregables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 de PIU (TRL, CRL, OCDE, ODS)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TRL 1, CRL 1, OCDE 5, todos los ODS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Artículos de opinión</w:t>
            </w:r>
          </w:p>
        </w:tc>
      </w:tr>
    </w:tbl>
    <w:p>
      <w:pPr>
        <w:keepNext/>
        <w:spacing w:after="80" w:before="1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F. Requerimientos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Materiales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Difusión de la AC en redes; acceso al Drive de SOPECIN; acceso a la plataforma Meet de SOPECIN (500 participantes); publicación en Comprende Más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Humanos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Apoyo en recordatorios de reuniones, registro de acuerdos, revisión y redacción del documento final, y traducción al inglés</w:t>
            </w:r>
          </w:p>
        </w:tc>
      </w:tr>
      <w:tr>
        <w:trPr>
          <w:cantSplit/>
          <w:tblHeader w:val="off"/>
        </w:trPr>
        <w:tc>
          <w:tcPr>
            <w:tcW w:type="dxa" w:w="3400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shd w:fill="E6F2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Económicos</w:t>
            </w:r>
          </w:p>
        </w:tc>
        <w:tc>
          <w:tcPr>
            <w:tcW w:type="dxa" w:w="5626"/>
            <w:tcBorders>
              <w:top w:val="single" w:color="C9D3D0" w:sz="4"/>
              <w:left w:val="single" w:color="C9D3D0" w:sz="4"/>
              <w:bottom w:val="single" w:color="C9D3D0" w:sz="4"/>
              <w:right w:val="single" w:color="C9D3D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10.00 por bimestre (publicaciones en Facebook, LinkedIn y YouTube)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440" w:right="1440" w:bottom="1300" w:left="1440" w:header="600" w:footer="6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6670"/>
        <w:sz w:val="16"/>
        <w:szCs w:val="16"/>
      </w:rPr>
      <w:t xml:space="preserve">SOPECIN · Versión 1 · 15 de mayo de 2025 · Página </w:t>
    </w:r>
    <w:r>
      <w:rPr>
        <w:rFonts w:ascii="Arial" w:cs="Arial" w:eastAsia="Arial" w:hAnsi="Arial"/>
        <w:color w:val="5B66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B6C" w:sz="6" w:space="4"/>
      </w:pBdr>
      <w:jc w:val="left"/>
    </w:pPr>
    <w:r>
      <w:drawing>
        <wp:inline distT="0" distB="0" distL="0" distR="0">
          <wp:extent cx="1066800" cy="390525"/>
          <wp:effectExtent t="0" r="0" b="0" l="0"/>
          <wp:docPr id="4" name="logo" descr="Logotipo de SOPECIN" title="SOPEC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670"/>
        <w:sz w:val="17"/>
        <w:szCs w:val="17"/>
      </w:rPr>
      <w:t xml:space="preserve">     Manual de Círculos Científicos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2D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outlineLvl w:val="1"/>
    </w:pPr>
    <w:rPr>
      <w:rFonts w:ascii="Arial" w:cs="Arial" w:eastAsia="Arial" w:hAnsi="Arial"/>
      <w:b/>
      <w:bCs/>
      <w:color w:val="0F7B6C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ive91rq4tkuln1b3guz8k" Type="http://schemas.openxmlformats.org/officeDocument/2006/relationships/hyperlink" Target="https://www.patenta.pe/-/propiedad-intelectual-herramientas-disponibles-de-proteccion" TargetMode="External"/><Relationship Id="rIdj4fw2o7cnvcjvgtfovvb5" Type="http://schemas.openxmlformats.org/officeDocument/2006/relationships/hyperlink" Target="https://www.patenta.pe/-/propiedad-intelectual-herramientas-disponibles-de-proteccion" TargetMode="External"/><Relationship Id="rId4bv4x7ds56tdaio84mi8r" Type="http://schemas.openxmlformats.org/officeDocument/2006/relationships/hyperlink" Target="https://docs.google.com/forms/d/e/1FAIpQLSeCINWH8LHo9Wphj1LAVVjDVE_HzWlh-Logk6WS-soujGqB3Q/viewform?usp=sf_link" TargetMode="External"/><Relationship Id="rId11" Type="http://schemas.openxmlformats.org/officeDocument/2006/relationships/image" Target="media/38869f53aca7944324780af0648ef9d5e1aa0c17.png"/><Relationship Id="rId12" Type="http://schemas.openxmlformats.org/officeDocument/2006/relationships/image" Target="media/35ee5e4cf9afe1ae691ee4348389cdab4b8c3bb1.png"/><Relationship Id="rId13" Type="http://schemas.openxmlformats.org/officeDocument/2006/relationships/image" Target="media/f52e01bb58bd42de0f0d9038c40fdf8072a2e65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869f53aca7944324780af0648ef9d5e1aa0c17.png"/></Relationships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Círculos Científicos SOPECIN</dc:title>
  <dc:creator>SOPECIN</dc:creator>
  <dc:description>Versión 1, 15 de mayo de 2025</dc:description>
  <cp:lastModifiedBy>Un-named</cp:lastModifiedBy>
  <cp:revision>1</cp:revision>
  <dcterms:created xsi:type="dcterms:W3CDTF">2026-10-27T01:39:20.848Z</dcterms:created>
  <dcterms:modified xsi:type="dcterms:W3CDTF">2026-10-27T01:39:20.853Z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